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4FD76BEC" w:rsidR="00BD0379" w:rsidRDefault="002B0025" w:rsidP="00BD0379">
      <w:pPr>
        <w:spacing w:after="12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070A" w14:textId="63A0841F" w:rsidR="007939DE" w:rsidRDefault="00097DC7"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5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35B6070A" w14:textId="63A0841F" w:rsidR="007939DE" w:rsidRDefault="00097DC7"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5 ДЕКАБРЯ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14:paraId="4226C4F0" w14:textId="77777777" w:rsidR="00097DC7" w:rsidRPr="00E5170B" w:rsidRDefault="00097DC7" w:rsidP="00097DC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5170B">
        <w:rPr>
          <w:rFonts w:cs="Arial"/>
          <w:b/>
          <w:bCs/>
          <w:iCs/>
          <w:sz w:val="20"/>
          <w:szCs w:val="20"/>
        </w:rPr>
        <w:t>Предельную базу по взносам утвердили на 2023 год</w:t>
      </w:r>
    </w:p>
    <w:p w14:paraId="645E089F" w14:textId="2C7E94C8" w:rsidR="00097DC7" w:rsidRPr="00E5170B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E5170B">
        <w:rPr>
          <w:rFonts w:cs="Arial"/>
          <w:iCs/>
          <w:sz w:val="20"/>
          <w:szCs w:val="20"/>
        </w:rPr>
        <w:t>Единую предельную базу по взносам на следующий год установили на уровне 1</w:t>
      </w:r>
      <w:r w:rsidR="00526484">
        <w:rPr>
          <w:rFonts w:cstheme="minorHAnsi"/>
          <w:bCs/>
          <w:sz w:val="20"/>
          <w:szCs w:val="20"/>
        </w:rPr>
        <w:t> </w:t>
      </w:r>
      <w:r w:rsidRPr="00E5170B">
        <w:rPr>
          <w:rFonts w:cs="Arial"/>
          <w:iCs/>
          <w:sz w:val="20"/>
          <w:szCs w:val="20"/>
        </w:rPr>
        <w:t>917 тыс. руб.</w:t>
      </w:r>
    </w:p>
    <w:p w14:paraId="067DA903" w14:textId="77777777" w:rsidR="00097DC7" w:rsidRPr="00E5170B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E5170B">
        <w:rPr>
          <w:rFonts w:cs="Arial"/>
          <w:iCs/>
          <w:sz w:val="20"/>
          <w:szCs w:val="20"/>
        </w:rPr>
        <w:t>Отметим, что показатель рассчитали по-новому, т.е. с учетом средней зарплаты. Такой подход закрепили в НК РФ. Его начнут применять с 1 января 2023 года.</w:t>
      </w:r>
    </w:p>
    <w:p w14:paraId="1DC98520" w14:textId="6069FF8D" w:rsidR="00097DC7" w:rsidRPr="00E5170B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E5170B">
        <w:rPr>
          <w:rFonts w:cs="Arial"/>
          <w:iCs/>
          <w:sz w:val="20"/>
          <w:szCs w:val="20"/>
        </w:rPr>
        <w:t>Напомним, из-за объединения ПФР и ФСС меняют правила расчета и уплаты взносов. Например, тариф станет единым: по общему правилу</w:t>
      </w:r>
      <w:r w:rsidR="00526484">
        <w:rPr>
          <w:rFonts w:cs="Arial"/>
          <w:iCs/>
          <w:sz w:val="20"/>
          <w:szCs w:val="20"/>
        </w:rPr>
        <w:t>,</w:t>
      </w:r>
      <w:r w:rsidRPr="00E5170B">
        <w:rPr>
          <w:rFonts w:cs="Arial"/>
          <w:iCs/>
          <w:sz w:val="20"/>
          <w:szCs w:val="20"/>
        </w:rPr>
        <w:t xml:space="preserve"> 30% </w:t>
      </w:r>
      <w:r w:rsidR="00526484">
        <w:rPr>
          <w:rFonts w:cstheme="minorHAnsi"/>
          <w:sz w:val="20"/>
          <w:szCs w:val="20"/>
          <w:shd w:val="clear" w:color="auto" w:fill="FFFFFF"/>
        </w:rPr>
        <w:t>–</w:t>
      </w:r>
      <w:r w:rsidR="00526484" w:rsidRPr="0052648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5170B">
        <w:rPr>
          <w:rFonts w:cs="Arial"/>
          <w:iCs/>
          <w:sz w:val="20"/>
          <w:szCs w:val="20"/>
        </w:rPr>
        <w:t>в рамках единой предельной базы и 15,1%</w:t>
      </w:r>
      <w:r w:rsidR="00526484">
        <w:rPr>
          <w:rFonts w:cs="Arial"/>
          <w:iCs/>
          <w:sz w:val="20"/>
          <w:szCs w:val="20"/>
        </w:rPr>
        <w:t xml:space="preserve"> </w:t>
      </w:r>
      <w:r w:rsidR="00526484">
        <w:rPr>
          <w:rFonts w:cstheme="minorHAnsi"/>
          <w:sz w:val="20"/>
          <w:szCs w:val="20"/>
          <w:shd w:val="clear" w:color="auto" w:fill="FFFFFF"/>
        </w:rPr>
        <w:t>–</w:t>
      </w:r>
      <w:r w:rsidRPr="00E5170B">
        <w:rPr>
          <w:rFonts w:cs="Arial"/>
          <w:iCs/>
          <w:sz w:val="20"/>
          <w:szCs w:val="20"/>
        </w:rPr>
        <w:t xml:space="preserve"> сверх нее.</w:t>
      </w:r>
    </w:p>
    <w:p w14:paraId="5704D678" w14:textId="77777777" w:rsidR="00097DC7" w:rsidRPr="00E5170B" w:rsidRDefault="00097DC7" w:rsidP="00097DC7">
      <w:pPr>
        <w:spacing w:after="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  <w:u w:val="single"/>
        </w:rPr>
        <w:t>Постановление Правительства РФ от 25.11.2022 N 2143</w:t>
      </w:r>
      <w:r w:rsidRPr="00E5170B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E5170B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E5170B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E5170B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E5170B">
        <w:rPr>
          <w:rFonts w:cs="Arial"/>
          <w:i/>
          <w:sz w:val="20"/>
          <w:szCs w:val="20"/>
        </w:rPr>
        <w:t>)</w:t>
      </w:r>
    </w:p>
    <w:p w14:paraId="245B91E6" w14:textId="053964E5" w:rsidR="00CA410C" w:rsidRDefault="00097DC7" w:rsidP="00CA410C">
      <w:pPr>
        <w:spacing w:after="12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087D4367" w14:textId="77777777" w:rsidR="00097DC7" w:rsidRPr="006C3135" w:rsidRDefault="00097DC7" w:rsidP="00097DC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C3135">
        <w:rPr>
          <w:rFonts w:cs="Arial"/>
          <w:b/>
          <w:bCs/>
          <w:iCs/>
          <w:sz w:val="20"/>
          <w:szCs w:val="20"/>
        </w:rPr>
        <w:t>С 1 марта 2023 года надо применять путевой лист с обновленным составом сведений</w:t>
      </w:r>
    </w:p>
    <w:p w14:paraId="488F83C9" w14:textId="5D7DAB8C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 xml:space="preserve">Минтранс утвердил новый состав сведений </w:t>
      </w:r>
      <w:r w:rsidR="00526484">
        <w:rPr>
          <w:rFonts w:cs="Arial"/>
          <w:iCs/>
          <w:sz w:val="20"/>
          <w:szCs w:val="20"/>
        </w:rPr>
        <w:t xml:space="preserve">для </w:t>
      </w:r>
      <w:r w:rsidRPr="006C3135">
        <w:rPr>
          <w:rFonts w:cs="Arial"/>
          <w:iCs/>
          <w:sz w:val="20"/>
          <w:szCs w:val="20"/>
        </w:rPr>
        <w:t>путевого листа, а также порядок его оформления. Их надо применять с 1 марта 2023 года до 1 марта 2029 года. Действующий приказ Минтранса утратит силу.</w:t>
      </w:r>
    </w:p>
    <w:p w14:paraId="44BF86CB" w14:textId="77777777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Вместо сведений о собственнике (владельце) транспорт</w:t>
      </w:r>
      <w:r>
        <w:rPr>
          <w:rFonts w:cs="Arial"/>
          <w:iCs/>
          <w:sz w:val="20"/>
          <w:szCs w:val="20"/>
        </w:rPr>
        <w:t>ного средства</w:t>
      </w:r>
      <w:r w:rsidRPr="006C3135">
        <w:rPr>
          <w:rFonts w:cs="Arial"/>
          <w:iCs/>
          <w:sz w:val="20"/>
          <w:szCs w:val="20"/>
        </w:rPr>
        <w:t xml:space="preserve"> (ТС) надо указывать сведения о лице, оформившем путевой лист. Из документа исключили наименование и номер путевого листа.</w:t>
      </w:r>
    </w:p>
    <w:p w14:paraId="02A2EC3F" w14:textId="392B0635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 xml:space="preserve">Собственник (владелец) </w:t>
      </w:r>
      <w:r w:rsidR="00526484">
        <w:rPr>
          <w:rFonts w:cs="Arial"/>
          <w:iCs/>
          <w:sz w:val="20"/>
          <w:szCs w:val="20"/>
        </w:rPr>
        <w:t xml:space="preserve">ТС </w:t>
      </w:r>
      <w:r w:rsidRPr="006C3135">
        <w:rPr>
          <w:rFonts w:cs="Arial"/>
          <w:iCs/>
          <w:sz w:val="20"/>
          <w:szCs w:val="20"/>
        </w:rPr>
        <w:t>сможет, как и сейчас, указывать дополнительные сведения.</w:t>
      </w:r>
    </w:p>
    <w:p w14:paraId="3F4DDFD7" w14:textId="25F6366A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Путевой лист можно оформить не только на бумаге, но и в электронном виде. Это делает собственник (владелец)</w:t>
      </w:r>
      <w:r w:rsidR="00526484">
        <w:rPr>
          <w:rFonts w:cs="Arial"/>
          <w:iCs/>
          <w:sz w:val="20"/>
          <w:szCs w:val="20"/>
        </w:rPr>
        <w:t xml:space="preserve"> ТС</w:t>
      </w:r>
      <w:r w:rsidRPr="006C3135">
        <w:rPr>
          <w:rFonts w:cs="Arial"/>
          <w:iCs/>
          <w:sz w:val="20"/>
          <w:szCs w:val="20"/>
        </w:rPr>
        <w:t>. Если ТС передали в аренду с экипажем, то путевой лист заполняет арендодатель.</w:t>
      </w:r>
    </w:p>
    <w:p w14:paraId="2991025E" w14:textId="34676B31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Отметки о медосмотре в электронном путевом листе медработник заверяет усиленной квалифицированной ЭП или усиленной неквалифицированной ЭП, создан</w:t>
      </w:r>
      <w:r w:rsidR="00526484">
        <w:rPr>
          <w:rFonts w:cs="Arial"/>
          <w:iCs/>
          <w:sz w:val="20"/>
          <w:szCs w:val="20"/>
        </w:rPr>
        <w:t>ной</w:t>
      </w:r>
      <w:r w:rsidRPr="006C3135">
        <w:rPr>
          <w:rFonts w:cs="Arial"/>
          <w:iCs/>
          <w:sz w:val="20"/>
          <w:szCs w:val="20"/>
        </w:rPr>
        <w:t xml:space="preserve"> на Госуслугах.</w:t>
      </w:r>
    </w:p>
    <w:p w14:paraId="3B1490AA" w14:textId="77777777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>Теми же подписями заверяют отметки:</w:t>
      </w:r>
    </w:p>
    <w:p w14:paraId="1EFE8C4C" w14:textId="459FAD7E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>о дате и времени выпуска ТС на линию, а также о дате, времени и результате предрейсового контроля технического состояния</w:t>
      </w:r>
      <w:r w:rsidR="00526484">
        <w:rPr>
          <w:rFonts w:cs="Arial"/>
          <w:iCs/>
          <w:sz w:val="20"/>
          <w:szCs w:val="20"/>
        </w:rPr>
        <w:t xml:space="preserve"> ТС</w:t>
      </w:r>
      <w:r w:rsidRPr="006C3135">
        <w:rPr>
          <w:rFonts w:cs="Arial"/>
          <w:iCs/>
          <w:sz w:val="20"/>
          <w:szCs w:val="20"/>
        </w:rPr>
        <w:t>;</w:t>
      </w:r>
    </w:p>
    <w:p w14:paraId="2658FE7A" w14:textId="71D3ED02" w:rsidR="00097DC7" w:rsidRPr="006C3135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6C3135">
        <w:rPr>
          <w:rFonts w:cs="Arial"/>
          <w:iCs/>
          <w:sz w:val="20"/>
          <w:szCs w:val="20"/>
        </w:rPr>
        <w:t xml:space="preserve">о дате, времени и показаниях одометра при выезде ТС с парковки и </w:t>
      </w:r>
      <w:r w:rsidR="00526484">
        <w:rPr>
          <w:rFonts w:cs="Arial"/>
          <w:iCs/>
          <w:sz w:val="20"/>
          <w:szCs w:val="20"/>
        </w:rPr>
        <w:t xml:space="preserve">при </w:t>
      </w:r>
      <w:r w:rsidRPr="006C3135">
        <w:rPr>
          <w:rFonts w:cs="Arial"/>
          <w:iCs/>
          <w:sz w:val="20"/>
          <w:szCs w:val="20"/>
        </w:rPr>
        <w:t xml:space="preserve">заезде на нее. Эти же отметки заверяют при передаче ТС следующему водителю в случае, </w:t>
      </w:r>
      <w:r w:rsidR="00526484">
        <w:rPr>
          <w:rFonts w:cs="Arial"/>
          <w:iCs/>
          <w:sz w:val="20"/>
          <w:szCs w:val="20"/>
        </w:rPr>
        <w:t>если</w:t>
      </w:r>
      <w:r w:rsidRPr="006C3135">
        <w:rPr>
          <w:rFonts w:cs="Arial"/>
          <w:iCs/>
          <w:sz w:val="20"/>
          <w:szCs w:val="20"/>
        </w:rPr>
        <w:t xml:space="preserve"> на ТС оформляют несколько путевых листов на каждого водителя.</w:t>
      </w:r>
    </w:p>
    <w:p w14:paraId="625B8687" w14:textId="0C9A9C07" w:rsidR="00097DC7" w:rsidRPr="006C3135" w:rsidRDefault="00097DC7" w:rsidP="00526484">
      <w:pPr>
        <w:spacing w:after="0" w:line="240" w:lineRule="auto"/>
        <w:rPr>
          <w:rFonts w:cs="Arial"/>
          <w:iCs/>
          <w:sz w:val="20"/>
          <w:szCs w:val="20"/>
        </w:rPr>
      </w:pPr>
      <w:r w:rsidRPr="006C3135">
        <w:rPr>
          <w:rFonts w:cs="Arial"/>
          <w:iCs/>
          <w:sz w:val="20"/>
          <w:szCs w:val="20"/>
        </w:rPr>
        <w:t xml:space="preserve">В первом случае подпись ставит работник, который отвечает за техническое состояние и безопасную эксплуатацию ТС, во втором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="0052648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6C3135">
        <w:rPr>
          <w:rFonts w:cs="Arial"/>
          <w:iCs/>
          <w:sz w:val="20"/>
          <w:szCs w:val="20"/>
        </w:rPr>
        <w:t>тот, кого назначит руководитель (ИП).</w:t>
      </w:r>
    </w:p>
    <w:p w14:paraId="6C44C9D9" w14:textId="77777777" w:rsidR="00097DC7" w:rsidRPr="006C3135" w:rsidRDefault="00097DC7" w:rsidP="00097DC7">
      <w:pPr>
        <w:spacing w:after="0"/>
        <w:jc w:val="both"/>
        <w:rPr>
          <w:rFonts w:cs="Arial"/>
          <w:i/>
          <w:sz w:val="20"/>
          <w:szCs w:val="20"/>
        </w:rPr>
      </w:pPr>
      <w:r w:rsidRPr="006C3135">
        <w:rPr>
          <w:rFonts w:cs="Arial"/>
          <w:i/>
          <w:sz w:val="20"/>
          <w:szCs w:val="20"/>
          <w:u w:val="single"/>
        </w:rPr>
        <w:t>Приказ Минтранса России от 28.09.2022 N 390</w:t>
      </w:r>
      <w:r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6C313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6C3135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6C313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6C3135">
        <w:rPr>
          <w:rFonts w:cs="Arial"/>
          <w:i/>
          <w:sz w:val="20"/>
          <w:szCs w:val="20"/>
        </w:rPr>
        <w:t>)</w:t>
      </w:r>
    </w:p>
    <w:p w14:paraId="26007DBF" w14:textId="77777777" w:rsidR="00097DC7" w:rsidRDefault="00097DC7" w:rsidP="00097DC7">
      <w:pPr>
        <w:spacing w:after="120"/>
        <w:jc w:val="both"/>
        <w:rPr>
          <w:rFonts w:cs="Arial"/>
          <w:i/>
          <w:sz w:val="20"/>
          <w:szCs w:val="20"/>
        </w:rPr>
      </w:pPr>
      <w:r w:rsidRPr="00E5170B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3120BF84" w14:textId="4D9D5372" w:rsidR="00097DC7" w:rsidRPr="00097DC7" w:rsidRDefault="00097DC7" w:rsidP="00097DC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97DC7">
        <w:rPr>
          <w:rFonts w:cs="Arial"/>
          <w:b/>
          <w:bCs/>
          <w:iCs/>
          <w:sz w:val="20"/>
          <w:szCs w:val="20"/>
        </w:rPr>
        <w:t>Скорректировали порядок учета бюджетных и денежных обязательств на лицевых счетах федеральных ПБС</w:t>
      </w:r>
    </w:p>
    <w:p w14:paraId="0F2B3928" w14:textId="687029BC" w:rsidR="00097DC7" w:rsidRPr="00097DC7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097DC7">
        <w:rPr>
          <w:rFonts w:cs="Arial"/>
          <w:iCs/>
          <w:sz w:val="20"/>
          <w:szCs w:val="20"/>
        </w:rPr>
        <w:t>Сведения о бюджетном и денежном обязательстве станут формировать в ЕИС закупок:</w:t>
      </w:r>
    </w:p>
    <w:p w14:paraId="083C7805" w14:textId="7D8CBA21" w:rsidR="00097DC7" w:rsidRPr="00097DC7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097DC7">
        <w:rPr>
          <w:rFonts w:cs="Arial"/>
          <w:iCs/>
          <w:sz w:val="20"/>
          <w:szCs w:val="20"/>
        </w:rPr>
        <w:t xml:space="preserve">с 1 июля 2023 года </w:t>
      </w:r>
      <w:r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097DC7">
        <w:rPr>
          <w:rFonts w:cs="Arial"/>
          <w:iCs/>
          <w:sz w:val="20"/>
          <w:szCs w:val="20"/>
        </w:rPr>
        <w:t>по извещениям, приглашениям, контрактам, которые включают в реестр контрактов, а также по соответствующим им документам о денежном обязательстве;</w:t>
      </w:r>
    </w:p>
    <w:p w14:paraId="12D50C0B" w14:textId="3D752B96" w:rsidR="00097DC7" w:rsidRPr="00097DC7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097DC7">
        <w:rPr>
          <w:rFonts w:cs="Arial"/>
          <w:iCs/>
          <w:sz w:val="20"/>
          <w:szCs w:val="20"/>
        </w:rPr>
        <w:t xml:space="preserve">с 1 апреля 2024 года </w:t>
      </w:r>
      <w:r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097DC7">
        <w:rPr>
          <w:rFonts w:cs="Arial"/>
          <w:iCs/>
          <w:sz w:val="20"/>
          <w:szCs w:val="20"/>
        </w:rPr>
        <w:t>по проектам контрактов</w:t>
      </w:r>
      <w:r w:rsidR="00526484">
        <w:rPr>
          <w:rFonts w:cs="Arial"/>
          <w:iCs/>
          <w:sz w:val="20"/>
          <w:szCs w:val="20"/>
        </w:rPr>
        <w:t>, заключаемых</w:t>
      </w:r>
      <w:r w:rsidRPr="00097DC7">
        <w:rPr>
          <w:rFonts w:cs="Arial"/>
          <w:iCs/>
          <w:sz w:val="20"/>
          <w:szCs w:val="20"/>
        </w:rPr>
        <w:t xml:space="preserve"> с единственным поставщиком, которые размещают в ЕИС;</w:t>
      </w:r>
    </w:p>
    <w:p w14:paraId="123BCCA1" w14:textId="3A8E457A" w:rsidR="00097DC7" w:rsidRPr="00097DC7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097DC7">
        <w:rPr>
          <w:rFonts w:cs="Arial"/>
          <w:iCs/>
          <w:sz w:val="20"/>
          <w:szCs w:val="20"/>
        </w:rPr>
        <w:t xml:space="preserve">с 1 июля 2024 года </w:t>
      </w:r>
      <w:r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097DC7">
        <w:rPr>
          <w:rFonts w:cs="Arial"/>
          <w:iCs/>
          <w:sz w:val="20"/>
          <w:szCs w:val="20"/>
        </w:rPr>
        <w:t xml:space="preserve">по проектам соглашений об увеличении цены контракта или аванса, </w:t>
      </w:r>
      <w:r w:rsidR="00526484" w:rsidRPr="00097DC7">
        <w:rPr>
          <w:rFonts w:cs="Arial"/>
          <w:iCs/>
          <w:sz w:val="20"/>
          <w:szCs w:val="20"/>
        </w:rPr>
        <w:t>которые размещают</w:t>
      </w:r>
      <w:r w:rsidRPr="00097DC7">
        <w:rPr>
          <w:rFonts w:cs="Arial"/>
          <w:iCs/>
          <w:sz w:val="20"/>
          <w:szCs w:val="20"/>
        </w:rPr>
        <w:t xml:space="preserve"> в ЕИС.</w:t>
      </w:r>
    </w:p>
    <w:p w14:paraId="18F52E18" w14:textId="5E66E083" w:rsidR="00097DC7" w:rsidRPr="00097DC7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097DC7">
        <w:rPr>
          <w:rFonts w:cs="Arial"/>
          <w:iCs/>
          <w:sz w:val="20"/>
          <w:szCs w:val="20"/>
        </w:rPr>
        <w:t xml:space="preserve">Сведения по другим документам будут формировать в системе </w:t>
      </w:r>
      <w:r w:rsidR="00526484">
        <w:rPr>
          <w:rFonts w:cs="Arial"/>
          <w:iCs/>
          <w:sz w:val="20"/>
          <w:szCs w:val="20"/>
        </w:rPr>
        <w:t>«</w:t>
      </w:r>
      <w:r w:rsidRPr="00097DC7">
        <w:rPr>
          <w:rFonts w:cs="Arial"/>
          <w:iCs/>
          <w:sz w:val="20"/>
          <w:szCs w:val="20"/>
        </w:rPr>
        <w:t>Электронный бюджет</w:t>
      </w:r>
      <w:r w:rsidR="00526484">
        <w:rPr>
          <w:rFonts w:cs="Arial"/>
          <w:iCs/>
          <w:sz w:val="20"/>
          <w:szCs w:val="20"/>
        </w:rPr>
        <w:t>»</w:t>
      </w:r>
      <w:r w:rsidRPr="00097DC7">
        <w:rPr>
          <w:rFonts w:cs="Arial"/>
          <w:iCs/>
          <w:sz w:val="20"/>
          <w:szCs w:val="20"/>
        </w:rPr>
        <w:t>.</w:t>
      </w:r>
    </w:p>
    <w:p w14:paraId="10F61D9F" w14:textId="70CC1173" w:rsidR="00097DC7" w:rsidRPr="00097DC7" w:rsidRDefault="00097DC7" w:rsidP="00097DC7">
      <w:pPr>
        <w:spacing w:after="0"/>
        <w:jc w:val="both"/>
        <w:rPr>
          <w:rFonts w:cs="Arial"/>
          <w:iCs/>
          <w:sz w:val="20"/>
          <w:szCs w:val="20"/>
        </w:rPr>
      </w:pPr>
      <w:r w:rsidRPr="00097DC7">
        <w:rPr>
          <w:rFonts w:cs="Arial"/>
          <w:iCs/>
          <w:sz w:val="20"/>
          <w:szCs w:val="20"/>
        </w:rPr>
        <w:t xml:space="preserve">Чтобы изменить данные о бюджетном обязательстве по госконтракту без корректировки этого документа-основания, </w:t>
      </w:r>
      <w:r w:rsidR="009A6737" w:rsidRPr="00097DC7">
        <w:rPr>
          <w:rFonts w:cs="Arial"/>
          <w:iCs/>
          <w:sz w:val="20"/>
          <w:szCs w:val="20"/>
        </w:rPr>
        <w:t xml:space="preserve">надо будет </w:t>
      </w:r>
      <w:r w:rsidRPr="00097DC7">
        <w:rPr>
          <w:rFonts w:cs="Arial"/>
          <w:iCs/>
          <w:sz w:val="20"/>
          <w:szCs w:val="20"/>
        </w:rPr>
        <w:t xml:space="preserve">сформировать новые сведения не позже 3 рабочих дней после возникновения </w:t>
      </w:r>
      <w:r w:rsidR="009A6737" w:rsidRPr="00097DC7">
        <w:rPr>
          <w:rFonts w:cs="Arial"/>
          <w:iCs/>
          <w:sz w:val="20"/>
          <w:szCs w:val="20"/>
        </w:rPr>
        <w:t>обстоятельств</w:t>
      </w:r>
      <w:r w:rsidR="009A6737">
        <w:rPr>
          <w:rFonts w:cs="Arial"/>
          <w:iCs/>
          <w:sz w:val="20"/>
          <w:szCs w:val="20"/>
        </w:rPr>
        <w:t>,</w:t>
      </w:r>
      <w:r w:rsidR="009A6737" w:rsidRPr="00097DC7">
        <w:rPr>
          <w:rFonts w:cs="Arial"/>
          <w:iCs/>
          <w:sz w:val="20"/>
          <w:szCs w:val="20"/>
        </w:rPr>
        <w:t xml:space="preserve"> </w:t>
      </w:r>
      <w:r w:rsidRPr="00097DC7">
        <w:rPr>
          <w:rFonts w:cs="Arial"/>
          <w:iCs/>
          <w:sz w:val="20"/>
          <w:szCs w:val="20"/>
        </w:rPr>
        <w:t>вынуждающих так поступить. Правило будут применять с 1 июля 2023 года. Внесли и другие небольшие поправки с аналогичным и более поздним сроком вступления в силу.</w:t>
      </w:r>
    </w:p>
    <w:p w14:paraId="3B0300CA" w14:textId="19F21734" w:rsidR="00097DC7" w:rsidRPr="00097DC7" w:rsidRDefault="00097DC7" w:rsidP="00097DC7">
      <w:pPr>
        <w:spacing w:after="0"/>
        <w:jc w:val="both"/>
        <w:rPr>
          <w:rFonts w:cs="Arial"/>
          <w:i/>
          <w:sz w:val="20"/>
          <w:szCs w:val="20"/>
        </w:rPr>
      </w:pPr>
      <w:r w:rsidRPr="00097DC7">
        <w:rPr>
          <w:rFonts w:cs="Arial"/>
          <w:i/>
          <w:sz w:val="20"/>
          <w:szCs w:val="20"/>
          <w:u w:val="single"/>
        </w:rPr>
        <w:t>Приказ Минфина России от 19.09.2022 N 141н</w:t>
      </w:r>
      <w:r w:rsidRPr="00097DC7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097DC7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097DC7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Pr="00097DC7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097DC7">
        <w:rPr>
          <w:rFonts w:cs="Arial"/>
          <w:i/>
          <w:sz w:val="20"/>
          <w:szCs w:val="20"/>
        </w:rPr>
        <w:t>)</w:t>
      </w:r>
    </w:p>
    <w:p w14:paraId="225B532C" w14:textId="0F5F28A0" w:rsidR="00097DC7" w:rsidRDefault="00097DC7" w:rsidP="00097DC7">
      <w:pPr>
        <w:spacing w:after="120"/>
        <w:jc w:val="both"/>
        <w:rPr>
          <w:rFonts w:cs="Arial"/>
          <w:i/>
          <w:sz w:val="20"/>
          <w:szCs w:val="20"/>
        </w:rPr>
      </w:pPr>
      <w:r w:rsidRPr="00097DC7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0421A113" w14:textId="77777777" w:rsidR="00A6017F" w:rsidRPr="00A6017F" w:rsidRDefault="00A6017F" w:rsidP="002E737E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A6017F">
        <w:rPr>
          <w:rFonts w:cs="Arial"/>
          <w:b/>
          <w:bCs/>
          <w:iCs/>
          <w:sz w:val="20"/>
          <w:szCs w:val="20"/>
        </w:rPr>
        <w:t>С 9 декабря надо применять обновленные перечни КБК на 2022 год и плановый период</w:t>
      </w:r>
    </w:p>
    <w:p w14:paraId="11ECEADA" w14:textId="2780AF4A" w:rsidR="00A6017F" w:rsidRPr="00A6017F" w:rsidRDefault="00A6017F" w:rsidP="002E737E">
      <w:pPr>
        <w:spacing w:after="0"/>
        <w:jc w:val="both"/>
        <w:rPr>
          <w:rFonts w:cs="Arial"/>
          <w:iCs/>
          <w:sz w:val="20"/>
          <w:szCs w:val="20"/>
        </w:rPr>
      </w:pPr>
      <w:r w:rsidRPr="00A6017F">
        <w:rPr>
          <w:rFonts w:cs="Arial"/>
          <w:iCs/>
          <w:sz w:val="20"/>
          <w:szCs w:val="20"/>
        </w:rPr>
        <w:t>В основном скорректировали перечни целевых статей расходов федерального бюджета, в т.ч. направлений расходов. Например, в них отразили ряд затрат за счет резервного фонда правительства.</w:t>
      </w:r>
    </w:p>
    <w:p w14:paraId="48FA78A6" w14:textId="5FC66396" w:rsidR="00A6017F" w:rsidRPr="00A6017F" w:rsidRDefault="00A6017F" w:rsidP="002E737E">
      <w:pPr>
        <w:spacing w:after="0"/>
        <w:jc w:val="both"/>
        <w:rPr>
          <w:rFonts w:cs="Arial"/>
          <w:iCs/>
          <w:sz w:val="20"/>
          <w:szCs w:val="20"/>
        </w:rPr>
      </w:pPr>
      <w:r w:rsidRPr="00A6017F">
        <w:rPr>
          <w:rFonts w:cs="Arial"/>
          <w:iCs/>
          <w:sz w:val="20"/>
          <w:szCs w:val="20"/>
        </w:rPr>
        <w:t xml:space="preserve">Небольшие правки внесли в список кодов доходов. Так, в нем указали поступления от межбюджетных трансфертов (кроме субсидий) на создание в образовательных организациях дополнительных мест для детей </w:t>
      </w:r>
      <w:r w:rsidR="009A6737">
        <w:rPr>
          <w:rFonts w:cs="Arial"/>
          <w:iCs/>
          <w:sz w:val="20"/>
          <w:szCs w:val="20"/>
        </w:rPr>
        <w:t xml:space="preserve">в возрасте </w:t>
      </w:r>
      <w:r w:rsidRPr="00A6017F">
        <w:rPr>
          <w:rFonts w:cs="Arial"/>
          <w:iCs/>
          <w:sz w:val="20"/>
          <w:szCs w:val="20"/>
        </w:rPr>
        <w:t xml:space="preserve">от 1,5 </w:t>
      </w:r>
      <w:r w:rsidR="00526484">
        <w:rPr>
          <w:rFonts w:cs="Arial"/>
          <w:iCs/>
          <w:sz w:val="20"/>
          <w:szCs w:val="20"/>
        </w:rPr>
        <w:t xml:space="preserve">года </w:t>
      </w:r>
      <w:r w:rsidRPr="00A6017F">
        <w:rPr>
          <w:rFonts w:cs="Arial"/>
          <w:iCs/>
          <w:sz w:val="20"/>
          <w:szCs w:val="20"/>
        </w:rPr>
        <w:t>до 3 лет.</w:t>
      </w:r>
    </w:p>
    <w:p w14:paraId="50A64530" w14:textId="15F545AE" w:rsidR="00A6017F" w:rsidRPr="00A6017F" w:rsidRDefault="00A6017F" w:rsidP="002E737E">
      <w:pPr>
        <w:spacing w:after="0"/>
        <w:jc w:val="both"/>
        <w:rPr>
          <w:rFonts w:cs="Arial"/>
          <w:i/>
          <w:sz w:val="20"/>
          <w:szCs w:val="20"/>
        </w:rPr>
      </w:pPr>
      <w:r w:rsidRPr="00A6017F">
        <w:rPr>
          <w:rFonts w:cs="Arial"/>
          <w:i/>
          <w:sz w:val="20"/>
          <w:szCs w:val="20"/>
          <w:u w:val="single"/>
        </w:rPr>
        <w:t>Приказ Минфина России от 20.10.2022 N 154н</w:t>
      </w:r>
      <w:r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(</w:t>
      </w:r>
      <w:hyperlink r:id="rId13" w:tooltip="Ссылка на КонсультантПлюс" w:history="1">
        <w:r w:rsidRPr="00A6017F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6017F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Pr="00A6017F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A6017F">
        <w:rPr>
          <w:rFonts w:cs="Arial"/>
          <w:i/>
          <w:sz w:val="20"/>
          <w:szCs w:val="20"/>
        </w:rPr>
        <w:t>)</w:t>
      </w:r>
    </w:p>
    <w:p w14:paraId="1028E946" w14:textId="1FAC0DC6" w:rsidR="00A6017F" w:rsidRPr="00A6017F" w:rsidRDefault="00A6017F" w:rsidP="00A6017F">
      <w:pPr>
        <w:spacing w:after="120"/>
        <w:jc w:val="both"/>
        <w:rPr>
          <w:rFonts w:cs="Arial"/>
          <w:i/>
          <w:sz w:val="20"/>
          <w:szCs w:val="20"/>
        </w:rPr>
      </w:pPr>
      <w:r w:rsidRPr="00A6017F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42F4BC68" w14:textId="583BF0BA" w:rsidR="002E737E" w:rsidRDefault="002E737E" w:rsidP="00B75469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0E665BA7" w14:textId="6003B8D8" w:rsidR="002E737E" w:rsidRPr="002E737E" w:rsidRDefault="002E737E" w:rsidP="005635D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E737E">
        <w:rPr>
          <w:rFonts w:cs="Arial"/>
          <w:b/>
          <w:bCs/>
          <w:iCs/>
          <w:sz w:val="20"/>
          <w:szCs w:val="20"/>
        </w:rPr>
        <w:lastRenderedPageBreak/>
        <w:t xml:space="preserve">Учреждение не использовало имущество по назначению </w:t>
      </w:r>
      <w:r w:rsidRPr="002E737E">
        <w:rPr>
          <w:rFonts w:cstheme="minorHAnsi"/>
          <w:b/>
          <w:bCs/>
          <w:sz w:val="20"/>
          <w:szCs w:val="20"/>
          <w:shd w:val="clear" w:color="auto" w:fill="FFFFFF"/>
        </w:rPr>
        <w:t xml:space="preserve">– </w:t>
      </w:r>
      <w:r w:rsidRPr="002E737E">
        <w:rPr>
          <w:rFonts w:cs="Arial"/>
          <w:b/>
          <w:bCs/>
          <w:iCs/>
          <w:sz w:val="20"/>
          <w:szCs w:val="20"/>
        </w:rPr>
        <w:t>суд обязал собственника изъять объект</w:t>
      </w:r>
    </w:p>
    <w:p w14:paraId="0978713C" w14:textId="684DE611" w:rsidR="002E737E" w:rsidRPr="002E737E" w:rsidRDefault="002E737E" w:rsidP="005635DD">
      <w:pPr>
        <w:spacing w:after="0"/>
        <w:jc w:val="both"/>
        <w:rPr>
          <w:rFonts w:cs="Arial"/>
          <w:iCs/>
          <w:sz w:val="20"/>
          <w:szCs w:val="20"/>
        </w:rPr>
      </w:pPr>
      <w:r w:rsidRPr="002E737E">
        <w:rPr>
          <w:rFonts w:cs="Arial"/>
          <w:iCs/>
          <w:sz w:val="20"/>
          <w:szCs w:val="20"/>
        </w:rPr>
        <w:t xml:space="preserve">За учреждением на праве оперативного управления закрепили имущество. С момента </w:t>
      </w:r>
      <w:r w:rsidR="009A6737">
        <w:rPr>
          <w:rFonts w:cs="Arial"/>
          <w:iCs/>
          <w:sz w:val="20"/>
          <w:szCs w:val="20"/>
        </w:rPr>
        <w:t xml:space="preserve">его </w:t>
      </w:r>
      <w:r w:rsidRPr="002E737E">
        <w:rPr>
          <w:rFonts w:cs="Arial"/>
          <w:iCs/>
          <w:sz w:val="20"/>
          <w:szCs w:val="20"/>
        </w:rPr>
        <w:t xml:space="preserve">передачи </w:t>
      </w:r>
      <w:r w:rsidR="009A6737" w:rsidRPr="002E737E">
        <w:rPr>
          <w:rFonts w:cs="Arial"/>
          <w:iCs/>
          <w:sz w:val="20"/>
          <w:szCs w:val="20"/>
        </w:rPr>
        <w:t>имущество</w:t>
      </w:r>
      <w:r w:rsidRPr="002E737E">
        <w:rPr>
          <w:rFonts w:cs="Arial"/>
          <w:iCs/>
          <w:sz w:val="20"/>
          <w:szCs w:val="20"/>
        </w:rPr>
        <w:t xml:space="preserve"> не использовали, деньги на его содержание ГРБС не выделял, </w:t>
      </w:r>
      <w:r w:rsidR="009A6737">
        <w:rPr>
          <w:rFonts w:cs="Arial"/>
          <w:iCs/>
          <w:sz w:val="20"/>
          <w:szCs w:val="20"/>
        </w:rPr>
        <w:t xml:space="preserve">его </w:t>
      </w:r>
      <w:r w:rsidRPr="002E737E">
        <w:rPr>
          <w:rFonts w:cs="Arial"/>
          <w:iCs/>
          <w:sz w:val="20"/>
          <w:szCs w:val="20"/>
        </w:rPr>
        <w:t xml:space="preserve">назначение не соответствовало уставным целям. Учреждение неоднократно просило собственника изъять </w:t>
      </w:r>
      <w:r w:rsidR="009A6737">
        <w:rPr>
          <w:rFonts w:cs="Arial"/>
          <w:iCs/>
          <w:sz w:val="20"/>
          <w:szCs w:val="20"/>
        </w:rPr>
        <w:t xml:space="preserve">это </w:t>
      </w:r>
      <w:r w:rsidRPr="002E737E">
        <w:rPr>
          <w:rFonts w:cs="Arial"/>
          <w:iCs/>
          <w:sz w:val="20"/>
          <w:szCs w:val="20"/>
        </w:rPr>
        <w:t xml:space="preserve">имущество из </w:t>
      </w:r>
      <w:r w:rsidR="009A6737">
        <w:rPr>
          <w:rFonts w:cs="Arial"/>
          <w:iCs/>
          <w:sz w:val="20"/>
          <w:szCs w:val="20"/>
        </w:rPr>
        <w:t xml:space="preserve">своего </w:t>
      </w:r>
      <w:r w:rsidRPr="002E737E">
        <w:rPr>
          <w:rFonts w:cs="Arial"/>
          <w:iCs/>
          <w:sz w:val="20"/>
          <w:szCs w:val="20"/>
        </w:rPr>
        <w:t>управления, но получало отказ.</w:t>
      </w:r>
    </w:p>
    <w:p w14:paraId="54FFCC4E" w14:textId="14497C8E" w:rsidR="002E737E" w:rsidRPr="002E737E" w:rsidRDefault="002E737E" w:rsidP="005635DD">
      <w:pPr>
        <w:spacing w:after="0"/>
        <w:jc w:val="both"/>
        <w:rPr>
          <w:rFonts w:cs="Arial"/>
          <w:iCs/>
          <w:sz w:val="20"/>
          <w:szCs w:val="20"/>
        </w:rPr>
      </w:pPr>
      <w:r w:rsidRPr="002E737E">
        <w:rPr>
          <w:rFonts w:cs="Arial"/>
          <w:iCs/>
          <w:sz w:val="20"/>
          <w:szCs w:val="20"/>
        </w:rPr>
        <w:t>Спор разрешил суд. Он обязал собственника принять имущество в казну.</w:t>
      </w:r>
    </w:p>
    <w:p w14:paraId="65E0B07F" w14:textId="053B469B" w:rsidR="002E737E" w:rsidRPr="002E737E" w:rsidRDefault="009A6737" w:rsidP="005635D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В соответствии с</w:t>
      </w:r>
      <w:r w:rsidR="002E737E" w:rsidRPr="002E737E">
        <w:rPr>
          <w:rFonts w:cs="Arial"/>
          <w:iCs/>
          <w:sz w:val="20"/>
          <w:szCs w:val="20"/>
        </w:rPr>
        <w:t xml:space="preserve"> ГК РФ учреждение </w:t>
      </w:r>
      <w:r>
        <w:rPr>
          <w:rFonts w:cs="Arial"/>
          <w:iCs/>
          <w:sz w:val="20"/>
          <w:szCs w:val="20"/>
        </w:rPr>
        <w:t xml:space="preserve">должно </w:t>
      </w:r>
      <w:r w:rsidR="002E737E" w:rsidRPr="002E737E">
        <w:rPr>
          <w:rFonts w:cs="Arial"/>
          <w:iCs/>
          <w:sz w:val="20"/>
          <w:szCs w:val="20"/>
        </w:rPr>
        <w:t>использ</w:t>
      </w:r>
      <w:r>
        <w:rPr>
          <w:rFonts w:cs="Arial"/>
          <w:iCs/>
          <w:sz w:val="20"/>
          <w:szCs w:val="20"/>
        </w:rPr>
        <w:t>овать</w:t>
      </w:r>
      <w:r w:rsidR="002E737E" w:rsidRPr="002E737E">
        <w:rPr>
          <w:rFonts w:cs="Arial"/>
          <w:iCs/>
          <w:sz w:val="20"/>
          <w:szCs w:val="20"/>
        </w:rPr>
        <w:t xml:space="preserve"> закрепленное за ним имущество согласно целям своей деятельности. Излишнее, неиспользуемое или используемое не по назначению имущество собственник вправе изъять.</w:t>
      </w:r>
    </w:p>
    <w:p w14:paraId="618FA998" w14:textId="24AAB7B0" w:rsidR="002E737E" w:rsidRPr="002E737E" w:rsidRDefault="002E737E" w:rsidP="005635DD">
      <w:pPr>
        <w:spacing w:after="0"/>
        <w:jc w:val="both"/>
        <w:rPr>
          <w:rFonts w:cs="Arial"/>
          <w:iCs/>
          <w:sz w:val="20"/>
          <w:szCs w:val="20"/>
        </w:rPr>
      </w:pPr>
      <w:r w:rsidRPr="002E737E">
        <w:rPr>
          <w:rFonts w:cs="Arial"/>
          <w:iCs/>
          <w:sz w:val="20"/>
          <w:szCs w:val="20"/>
        </w:rPr>
        <w:t>В данном случае назначение объекта не соответствовало уставным целям</w:t>
      </w:r>
      <w:r w:rsidR="009A6737">
        <w:rPr>
          <w:rFonts w:cs="Arial"/>
          <w:iCs/>
          <w:sz w:val="20"/>
          <w:szCs w:val="20"/>
        </w:rPr>
        <w:t xml:space="preserve"> учреждения и последнее</w:t>
      </w:r>
      <w:r w:rsidRPr="002E737E">
        <w:rPr>
          <w:rFonts w:cs="Arial"/>
          <w:iCs/>
          <w:sz w:val="20"/>
          <w:szCs w:val="20"/>
        </w:rPr>
        <w:t xml:space="preserve"> его не использовало.</w:t>
      </w:r>
    </w:p>
    <w:p w14:paraId="5F6A0A41" w14:textId="50B5E0D3" w:rsidR="002E737E" w:rsidRPr="002E737E" w:rsidRDefault="002E737E" w:rsidP="005635DD">
      <w:pPr>
        <w:spacing w:after="0"/>
        <w:jc w:val="both"/>
        <w:rPr>
          <w:rFonts w:cs="Arial"/>
          <w:iCs/>
          <w:sz w:val="20"/>
          <w:szCs w:val="20"/>
        </w:rPr>
      </w:pPr>
      <w:r w:rsidRPr="002E737E">
        <w:rPr>
          <w:rFonts w:cs="Arial"/>
          <w:iCs/>
          <w:sz w:val="20"/>
          <w:szCs w:val="20"/>
        </w:rPr>
        <w:t xml:space="preserve">Суд отклонил довод собственника </w:t>
      </w:r>
      <w:r w:rsidR="009A6737">
        <w:rPr>
          <w:rFonts w:cs="Arial"/>
          <w:iCs/>
          <w:sz w:val="20"/>
          <w:szCs w:val="20"/>
        </w:rPr>
        <w:t>об</w:t>
      </w:r>
      <w:r w:rsidRPr="002E737E">
        <w:rPr>
          <w:rFonts w:cs="Arial"/>
          <w:iCs/>
          <w:sz w:val="20"/>
          <w:szCs w:val="20"/>
        </w:rPr>
        <w:t xml:space="preserve"> отсутстви</w:t>
      </w:r>
      <w:r w:rsidR="009A6737">
        <w:rPr>
          <w:rFonts w:cs="Arial"/>
          <w:iCs/>
          <w:sz w:val="20"/>
          <w:szCs w:val="20"/>
        </w:rPr>
        <w:t>и</w:t>
      </w:r>
      <w:r w:rsidRPr="002E737E">
        <w:rPr>
          <w:rFonts w:cs="Arial"/>
          <w:iCs/>
          <w:sz w:val="20"/>
          <w:szCs w:val="20"/>
        </w:rPr>
        <w:t xml:space="preserve"> решения об ином использовании имущества. Тако</w:t>
      </w:r>
      <w:r w:rsidR="009A6737">
        <w:rPr>
          <w:rFonts w:cs="Arial"/>
          <w:iCs/>
          <w:sz w:val="20"/>
          <w:szCs w:val="20"/>
        </w:rPr>
        <w:t>е</w:t>
      </w:r>
      <w:r w:rsidRPr="002E737E">
        <w:rPr>
          <w:rFonts w:cs="Arial"/>
          <w:iCs/>
          <w:sz w:val="20"/>
          <w:szCs w:val="20"/>
        </w:rPr>
        <w:t xml:space="preserve"> основани</w:t>
      </w:r>
      <w:r w:rsidR="009A6737">
        <w:rPr>
          <w:rFonts w:cs="Arial"/>
          <w:iCs/>
          <w:sz w:val="20"/>
          <w:szCs w:val="20"/>
        </w:rPr>
        <w:t>е</w:t>
      </w:r>
      <w:r w:rsidRPr="002E737E">
        <w:rPr>
          <w:rFonts w:cs="Arial"/>
          <w:iCs/>
          <w:sz w:val="20"/>
          <w:szCs w:val="20"/>
        </w:rPr>
        <w:t xml:space="preserve"> для отказа в изъятии </w:t>
      </w:r>
      <w:r w:rsidR="009A6737">
        <w:rPr>
          <w:rFonts w:cs="Arial"/>
          <w:iCs/>
          <w:sz w:val="20"/>
          <w:szCs w:val="20"/>
        </w:rPr>
        <w:t>имущества</w:t>
      </w:r>
      <w:r w:rsidRPr="002E737E">
        <w:rPr>
          <w:rFonts w:cs="Arial"/>
          <w:iCs/>
          <w:sz w:val="20"/>
          <w:szCs w:val="20"/>
        </w:rPr>
        <w:t xml:space="preserve"> ГК РФ не</w:t>
      </w:r>
      <w:r w:rsidR="009A6737">
        <w:rPr>
          <w:rFonts w:cs="Arial"/>
          <w:iCs/>
          <w:sz w:val="20"/>
          <w:szCs w:val="20"/>
        </w:rPr>
        <w:t xml:space="preserve"> предусмотрено</w:t>
      </w:r>
      <w:r w:rsidRPr="002E737E">
        <w:rPr>
          <w:rFonts w:cs="Arial"/>
          <w:iCs/>
          <w:sz w:val="20"/>
          <w:szCs w:val="20"/>
        </w:rPr>
        <w:t>.</w:t>
      </w:r>
    </w:p>
    <w:p w14:paraId="73099D3F" w14:textId="2E6395F2" w:rsidR="002E737E" w:rsidRPr="005635DD" w:rsidRDefault="002E737E" w:rsidP="005635DD">
      <w:pPr>
        <w:spacing w:after="0"/>
        <w:jc w:val="both"/>
        <w:rPr>
          <w:rFonts w:cs="Arial"/>
          <w:i/>
          <w:sz w:val="20"/>
          <w:szCs w:val="20"/>
        </w:rPr>
      </w:pPr>
      <w:r w:rsidRPr="005635DD">
        <w:rPr>
          <w:rFonts w:cs="Arial"/>
          <w:i/>
          <w:sz w:val="20"/>
          <w:szCs w:val="20"/>
          <w:u w:val="single"/>
        </w:rPr>
        <w:t>Постановление АС Северо-Западного округа от 03.10.2022 по делу N А56-42037/2021</w:t>
      </w:r>
      <w:r w:rsidR="005635DD">
        <w:rPr>
          <w:rFonts w:cs="Arial"/>
          <w:i/>
          <w:sz w:val="20"/>
          <w:szCs w:val="20"/>
        </w:rPr>
        <w:t xml:space="preserve"> (</w:t>
      </w:r>
      <w:hyperlink r:id="rId15" w:tooltip="Ссылка на КонсультантПлюс" w:history="1">
        <w:r w:rsidR="005635DD" w:rsidRPr="005635DD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="005635DD" w:rsidRPr="005635DD">
        <w:rPr>
          <w:rFonts w:cs="Arial"/>
          <w:i/>
          <w:sz w:val="20"/>
          <w:szCs w:val="20"/>
        </w:rPr>
        <w:t>/</w:t>
      </w:r>
      <w:hyperlink r:id="rId16" w:tooltip="Ссылка на КонсультантПлюс" w:history="1">
        <w:r w:rsidR="005635DD" w:rsidRPr="005635DD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5635DD" w:rsidRPr="005635DD">
        <w:rPr>
          <w:rFonts w:cs="Arial"/>
          <w:i/>
          <w:sz w:val="20"/>
          <w:szCs w:val="20"/>
        </w:rPr>
        <w:t>)</w:t>
      </w:r>
    </w:p>
    <w:p w14:paraId="63C18871" w14:textId="45E427CD" w:rsidR="005635DD" w:rsidRPr="005635DD" w:rsidRDefault="005635DD" w:rsidP="002E737E">
      <w:pPr>
        <w:spacing w:after="120"/>
        <w:jc w:val="both"/>
        <w:rPr>
          <w:rFonts w:cs="Arial"/>
          <w:i/>
          <w:sz w:val="20"/>
          <w:szCs w:val="20"/>
        </w:rPr>
      </w:pPr>
      <w:r w:rsidRPr="005635DD">
        <w:rPr>
          <w:rFonts w:cs="Arial"/>
          <w:i/>
          <w:sz w:val="20"/>
          <w:szCs w:val="20"/>
        </w:rPr>
        <w:t>Арбитражные суды округов</w:t>
      </w:r>
    </w:p>
    <w:p w14:paraId="610FC72D" w14:textId="66937B79" w:rsidR="00B75469" w:rsidRPr="00B75469" w:rsidRDefault="00CA410C" w:rsidP="00B75469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Анали</w:t>
      </w:r>
      <w:r w:rsidR="00DB6A1D">
        <w:rPr>
          <w:rFonts w:cs="Arial"/>
          <w:i/>
          <w:sz w:val="28"/>
          <w:szCs w:val="28"/>
        </w:rPr>
        <w:t>тика</w:t>
      </w:r>
    </w:p>
    <w:p w14:paraId="35A9B422" w14:textId="6FD07A8E" w:rsidR="005635DD" w:rsidRPr="005635DD" w:rsidRDefault="005635DD" w:rsidP="00563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635DD">
        <w:rPr>
          <w:rFonts w:ascii="Calibri" w:hAnsi="Calibri" w:cs="Calibri"/>
          <w:b/>
          <w:bCs/>
          <w:sz w:val="20"/>
          <w:szCs w:val="20"/>
        </w:rPr>
        <w:t xml:space="preserve">Обзор </w:t>
      </w:r>
      <w:r w:rsidR="00526484">
        <w:rPr>
          <w:rFonts w:ascii="Calibri" w:hAnsi="Calibri" w:cs="Calibri"/>
          <w:b/>
          <w:bCs/>
          <w:sz w:val="20"/>
          <w:szCs w:val="20"/>
        </w:rPr>
        <w:t>«</w:t>
      </w:r>
      <w:r w:rsidRPr="005635DD">
        <w:rPr>
          <w:rFonts w:ascii="Calibri" w:hAnsi="Calibri" w:cs="Calibri"/>
          <w:b/>
          <w:bCs/>
          <w:sz w:val="20"/>
          <w:szCs w:val="20"/>
        </w:rPr>
        <w:t>Учетная политика и планирование в учреждениях: что учесть при подготовке к 2023 году</w:t>
      </w:r>
      <w:r w:rsidR="00526484">
        <w:rPr>
          <w:rFonts w:ascii="Calibri" w:hAnsi="Calibri" w:cs="Calibri"/>
          <w:b/>
          <w:bCs/>
          <w:sz w:val="20"/>
          <w:szCs w:val="20"/>
        </w:rPr>
        <w:t>»</w:t>
      </w:r>
    </w:p>
    <w:p w14:paraId="55DF9A9A" w14:textId="6C7EE740" w:rsidR="005635DD" w:rsidRDefault="005635DD" w:rsidP="00563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635DD">
        <w:rPr>
          <w:rFonts w:ascii="Calibri" w:hAnsi="Calibri" w:cs="Calibri"/>
          <w:sz w:val="20"/>
          <w:szCs w:val="20"/>
        </w:rPr>
        <w:t xml:space="preserve">Все учреждения должны внедрить унифицированные формы электронных документов бухучета. Появились новшества в КВР и </w:t>
      </w:r>
      <w:r w:rsidR="009A6737">
        <w:rPr>
          <w:rFonts w:ascii="Calibri" w:hAnsi="Calibri" w:cs="Calibri"/>
          <w:sz w:val="20"/>
          <w:szCs w:val="20"/>
        </w:rPr>
        <w:t xml:space="preserve">в </w:t>
      </w:r>
      <w:bookmarkStart w:id="1" w:name="_GoBack"/>
      <w:bookmarkEnd w:id="1"/>
      <w:r w:rsidRPr="005635DD">
        <w:rPr>
          <w:rFonts w:ascii="Calibri" w:hAnsi="Calibri" w:cs="Calibri"/>
          <w:sz w:val="20"/>
          <w:szCs w:val="20"/>
        </w:rPr>
        <w:t>кодах КОСГУ. Есть и другие изменения. Расскажем, на что обратить внимание при обновлении учетной политики, настройке бухгалтерской программы, утверждении плановых документов.</w:t>
      </w:r>
    </w:p>
    <w:p w14:paraId="3433D1ED" w14:textId="70132EDE" w:rsidR="005635DD" w:rsidRPr="005635DD" w:rsidRDefault="005635DD" w:rsidP="00563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5635DD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526484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5635DD">
        <w:rPr>
          <w:rFonts w:ascii="Calibri" w:hAnsi="Calibri" w:cs="Calibri"/>
          <w:i/>
          <w:iCs/>
          <w:sz w:val="20"/>
          <w:szCs w:val="20"/>
          <w:u w:val="single"/>
        </w:rPr>
        <w:t>Учетная политика и планирование в учреждениях: что учесть при подготовке к 2023 году</w:t>
      </w:r>
      <w:r w:rsidR="00526484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5635DD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7" w:tooltip="Ссылка на КонсультантПлюс" w:history="1">
        <w:r w:rsidRPr="005635DD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5635DD">
        <w:rPr>
          <w:rFonts w:ascii="Calibri" w:hAnsi="Calibri" w:cs="Calibri"/>
          <w:i/>
          <w:iCs/>
          <w:sz w:val="20"/>
          <w:szCs w:val="20"/>
        </w:rPr>
        <w:t>/</w:t>
      </w:r>
      <w:hyperlink r:id="rId18" w:tooltip="Ссылка на КонсультантПлюс" w:history="1">
        <w:r w:rsidRPr="005635DD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5635DD">
        <w:rPr>
          <w:rFonts w:ascii="Calibri" w:hAnsi="Calibri" w:cs="Calibri"/>
          <w:i/>
          <w:iCs/>
          <w:sz w:val="20"/>
          <w:szCs w:val="20"/>
        </w:rPr>
        <w:t>)</w:t>
      </w:r>
    </w:p>
    <w:p w14:paraId="342F236E" w14:textId="10194CF3" w:rsidR="00CA410C" w:rsidRPr="005635DD" w:rsidRDefault="00CA410C" w:rsidP="00CA410C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635DD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CA410C" w:rsidRPr="005635DD" w:rsidSect="00E85EF2">
      <w:headerReference w:type="default" r:id="rId19"/>
      <w:footerReference w:type="default" r:id="rId20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07A2" w14:textId="77777777" w:rsidR="0068732D" w:rsidRDefault="0068732D" w:rsidP="00165173">
      <w:pPr>
        <w:spacing w:after="0" w:line="240" w:lineRule="auto"/>
      </w:pPr>
      <w:r>
        <w:separator/>
      </w:r>
    </w:p>
  </w:endnote>
  <w:endnote w:type="continuationSeparator" w:id="0">
    <w:p w14:paraId="53AEE828" w14:textId="77777777" w:rsidR="0068732D" w:rsidRDefault="0068732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9064" w14:textId="77777777" w:rsidR="0068732D" w:rsidRDefault="0068732D" w:rsidP="00165173">
      <w:pPr>
        <w:spacing w:after="0" w:line="240" w:lineRule="auto"/>
      </w:pPr>
      <w:r>
        <w:separator/>
      </w:r>
    </w:p>
  </w:footnote>
  <w:footnote w:type="continuationSeparator" w:id="0">
    <w:p w14:paraId="1C5A9805" w14:textId="77777777" w:rsidR="0068732D" w:rsidRDefault="0068732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5D135C68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4EB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97DC7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058D"/>
    <w:rsid w:val="000E06D8"/>
    <w:rsid w:val="000E1E36"/>
    <w:rsid w:val="000E2E6A"/>
    <w:rsid w:val="000E2E8F"/>
    <w:rsid w:val="000E3EC7"/>
    <w:rsid w:val="000E4370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3B26"/>
    <w:rsid w:val="00134354"/>
    <w:rsid w:val="0013533C"/>
    <w:rsid w:val="00135488"/>
    <w:rsid w:val="00136085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2A09"/>
    <w:rsid w:val="001B7669"/>
    <w:rsid w:val="001C0B73"/>
    <w:rsid w:val="001C3AEA"/>
    <w:rsid w:val="001D0AA8"/>
    <w:rsid w:val="001D2096"/>
    <w:rsid w:val="001D3049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1253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051"/>
    <w:rsid w:val="0027472D"/>
    <w:rsid w:val="00276D34"/>
    <w:rsid w:val="00280D34"/>
    <w:rsid w:val="00283641"/>
    <w:rsid w:val="00283809"/>
    <w:rsid w:val="00284038"/>
    <w:rsid w:val="002840F8"/>
    <w:rsid w:val="00287D1A"/>
    <w:rsid w:val="00290190"/>
    <w:rsid w:val="00290726"/>
    <w:rsid w:val="002910E8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3CD"/>
    <w:rsid w:val="002A5BF2"/>
    <w:rsid w:val="002A7663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305"/>
    <w:rsid w:val="002E176D"/>
    <w:rsid w:val="002E288C"/>
    <w:rsid w:val="002E69F5"/>
    <w:rsid w:val="002E737E"/>
    <w:rsid w:val="002F51FE"/>
    <w:rsid w:val="00300FB4"/>
    <w:rsid w:val="0030171C"/>
    <w:rsid w:val="0030172A"/>
    <w:rsid w:val="0030194D"/>
    <w:rsid w:val="00301FC8"/>
    <w:rsid w:val="00306013"/>
    <w:rsid w:val="0031059B"/>
    <w:rsid w:val="00311108"/>
    <w:rsid w:val="00311909"/>
    <w:rsid w:val="0031345D"/>
    <w:rsid w:val="00314F80"/>
    <w:rsid w:val="0031568E"/>
    <w:rsid w:val="00316508"/>
    <w:rsid w:val="00317D1B"/>
    <w:rsid w:val="00321018"/>
    <w:rsid w:val="003214EB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2F0F"/>
    <w:rsid w:val="00354489"/>
    <w:rsid w:val="0035571D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508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3F48"/>
    <w:rsid w:val="004B4D6C"/>
    <w:rsid w:val="004B6E7F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17920"/>
    <w:rsid w:val="0052135F"/>
    <w:rsid w:val="00521C97"/>
    <w:rsid w:val="00525A64"/>
    <w:rsid w:val="0052648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35DD"/>
    <w:rsid w:val="00564211"/>
    <w:rsid w:val="00564421"/>
    <w:rsid w:val="00564FF2"/>
    <w:rsid w:val="00565219"/>
    <w:rsid w:val="005660BD"/>
    <w:rsid w:val="0056670B"/>
    <w:rsid w:val="00567472"/>
    <w:rsid w:val="00570AAB"/>
    <w:rsid w:val="00570B74"/>
    <w:rsid w:val="0057485F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5C"/>
    <w:rsid w:val="006606CC"/>
    <w:rsid w:val="00662697"/>
    <w:rsid w:val="00666DF4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0561"/>
    <w:rsid w:val="00682EF2"/>
    <w:rsid w:val="0068347B"/>
    <w:rsid w:val="0068459C"/>
    <w:rsid w:val="00687041"/>
    <w:rsid w:val="0068732D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4B52"/>
    <w:rsid w:val="006A52D8"/>
    <w:rsid w:val="006A74E2"/>
    <w:rsid w:val="006B0864"/>
    <w:rsid w:val="006B097B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029A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3761"/>
    <w:rsid w:val="00734E53"/>
    <w:rsid w:val="00735B36"/>
    <w:rsid w:val="007371FC"/>
    <w:rsid w:val="00740B03"/>
    <w:rsid w:val="007412A9"/>
    <w:rsid w:val="00741ED7"/>
    <w:rsid w:val="00742A9A"/>
    <w:rsid w:val="0074443E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D7D"/>
    <w:rsid w:val="007A4FA1"/>
    <w:rsid w:val="007A5D52"/>
    <w:rsid w:val="007A77CA"/>
    <w:rsid w:val="007B1FFD"/>
    <w:rsid w:val="007B21BC"/>
    <w:rsid w:val="007B299F"/>
    <w:rsid w:val="007B4004"/>
    <w:rsid w:val="007B44DA"/>
    <w:rsid w:val="007B4711"/>
    <w:rsid w:val="007B7D05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38AA"/>
    <w:rsid w:val="008073BF"/>
    <w:rsid w:val="0080796B"/>
    <w:rsid w:val="00810B56"/>
    <w:rsid w:val="008129A7"/>
    <w:rsid w:val="008131CF"/>
    <w:rsid w:val="00815569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5610D"/>
    <w:rsid w:val="00860153"/>
    <w:rsid w:val="0086072B"/>
    <w:rsid w:val="00864A59"/>
    <w:rsid w:val="00865073"/>
    <w:rsid w:val="00867B4B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06B5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6FE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505"/>
    <w:rsid w:val="00944628"/>
    <w:rsid w:val="0094503F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6CA4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3156"/>
    <w:rsid w:val="009861A3"/>
    <w:rsid w:val="009868B9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5F73"/>
    <w:rsid w:val="009A6737"/>
    <w:rsid w:val="009A6DE5"/>
    <w:rsid w:val="009A7AEB"/>
    <w:rsid w:val="009B095B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304B"/>
    <w:rsid w:val="009E42DE"/>
    <w:rsid w:val="009E552C"/>
    <w:rsid w:val="009E7A9D"/>
    <w:rsid w:val="009E7D10"/>
    <w:rsid w:val="009F0639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23FE"/>
    <w:rsid w:val="00A331F1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17F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52E9"/>
    <w:rsid w:val="00B055EF"/>
    <w:rsid w:val="00B057D4"/>
    <w:rsid w:val="00B06E95"/>
    <w:rsid w:val="00B07235"/>
    <w:rsid w:val="00B079AF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538F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17E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324"/>
    <w:rsid w:val="00B75469"/>
    <w:rsid w:val="00B75EEC"/>
    <w:rsid w:val="00B800A5"/>
    <w:rsid w:val="00B84D5A"/>
    <w:rsid w:val="00B859AB"/>
    <w:rsid w:val="00B85BFD"/>
    <w:rsid w:val="00B87FCB"/>
    <w:rsid w:val="00B91E3A"/>
    <w:rsid w:val="00B91F57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7E3"/>
    <w:rsid w:val="00C43BEE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10C"/>
    <w:rsid w:val="00CA4EC1"/>
    <w:rsid w:val="00CA5B19"/>
    <w:rsid w:val="00CA656C"/>
    <w:rsid w:val="00CA6F80"/>
    <w:rsid w:val="00CB06B1"/>
    <w:rsid w:val="00CB08F4"/>
    <w:rsid w:val="00CB11FC"/>
    <w:rsid w:val="00CB4432"/>
    <w:rsid w:val="00CB7FAD"/>
    <w:rsid w:val="00CC0B2A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4434"/>
    <w:rsid w:val="00DB6A1D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B7C"/>
    <w:rsid w:val="00E15A39"/>
    <w:rsid w:val="00E16379"/>
    <w:rsid w:val="00E16F71"/>
    <w:rsid w:val="00E20FC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4C55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80B5C"/>
    <w:rsid w:val="00E841CA"/>
    <w:rsid w:val="00E84A5D"/>
    <w:rsid w:val="00E85988"/>
    <w:rsid w:val="00E85EF2"/>
    <w:rsid w:val="00E864E8"/>
    <w:rsid w:val="00E90FD7"/>
    <w:rsid w:val="00E91401"/>
    <w:rsid w:val="00E92D9C"/>
    <w:rsid w:val="00E9356C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0785A"/>
    <w:rsid w:val="00F10344"/>
    <w:rsid w:val="00F105F7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2EC9"/>
    <w:rsid w:val="00F43AF8"/>
    <w:rsid w:val="00F441B7"/>
    <w:rsid w:val="00F44608"/>
    <w:rsid w:val="00F4571C"/>
    <w:rsid w:val="00F502C9"/>
    <w:rsid w:val="00F51121"/>
    <w:rsid w:val="00F515D3"/>
    <w:rsid w:val="00F51664"/>
    <w:rsid w:val="00F52FED"/>
    <w:rsid w:val="00F53DEC"/>
    <w:rsid w:val="00F552D3"/>
    <w:rsid w:val="00F553BC"/>
    <w:rsid w:val="00F55454"/>
    <w:rsid w:val="00F5585C"/>
    <w:rsid w:val="00F5622F"/>
    <w:rsid w:val="00F57057"/>
    <w:rsid w:val="00F63560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6432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1639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B75469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DB6A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9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426&amp;dst=100003%2C1&amp;date=02.12.2022" TargetMode="External"/><Relationship Id="rId13" Type="http://schemas.openxmlformats.org/officeDocument/2006/relationships/hyperlink" Target="consultantplus://offline/ref=6B535752175201A2021CC44AAD5F5C28F5561A965DAD1D0766F69414F8B867A9D1086DE5482E7EBD75EB958D1CCA805FF9486DA31288B9804FEFdEODI" TargetMode="External"/><Relationship Id="rId18" Type="http://schemas.openxmlformats.org/officeDocument/2006/relationships/hyperlink" Target="https://login.consultant.ru/link/?req=doc&amp;base=LAW&amp;n=432839&amp;dst=100001&amp;date=02.12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BD7A82F5EAAEDFBD1B269CE97AB7D8501D968069A578127BCDF64EEF08DBC74FFF1F78D902123457A32648F34F54BA508C320EDE7C7156a9sEG" TargetMode="External"/><Relationship Id="rId12" Type="http://schemas.openxmlformats.org/officeDocument/2006/relationships/hyperlink" Target="https://login.consultant.ru/link/?req=doc&amp;base=LAW&amp;n=432269&amp;dst=100008&amp;date=02.12.2022" TargetMode="External"/><Relationship Id="rId17" Type="http://schemas.openxmlformats.org/officeDocument/2006/relationships/hyperlink" Target="consultantplus://offline/ref=1E0CDB69D7599CC66644178E74FE5D1A6D10E3A5533789777EDB9F443C29739D5CD71FA5FB28E27A8A33FB56194F29B8D69DCB3C425BD8115Fa7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SZ&amp;n=270366&amp;dst=100025&amp;date=02.12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123E6ABFFBCD0918BF2AAB8D76E2F4748289BA2219CBB690B88E54EDC30F0D5AEC376C7F7E6A50E462F0DCBA814486D7A7794769E2ABB2yEK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34514E91F78859629810E662EAF7CCAD17955CC6A91AB5114EDF2A79AA15D4855D1BDBA227AC573E6A82BE2512EFA6497F28763A8092E4K1Y6I" TargetMode="External"/><Relationship Id="rId10" Type="http://schemas.openxmlformats.org/officeDocument/2006/relationships/hyperlink" Target="https://login.consultant.ru/link/?req=doc&amp;base=LAW&amp;n=432726&amp;dst=100011&amp;date=02.12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A0A6D0B0CD65E811EB8D35D7DEF95C7D2B837DE906239C136CC501C9E6DA2E044486B4D98898622D359B66E93E5CAA30F3BD2FB9AD50BI065G" TargetMode="External"/><Relationship Id="rId14" Type="http://schemas.openxmlformats.org/officeDocument/2006/relationships/hyperlink" Target="consultantplus://offline/ref=BB2CDBF223D257B0D4665B4DFE4F102E1B89A771AE5A46DB55EDAFF01CB5030E0A54B65BBE3E29C33EC265F857B15C527199470502B2E0656BO2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63</cp:revision>
  <dcterms:created xsi:type="dcterms:W3CDTF">2022-09-12T15:22:00Z</dcterms:created>
  <dcterms:modified xsi:type="dcterms:W3CDTF">2022-12-05T10:58:00Z</dcterms:modified>
</cp:coreProperties>
</file>