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A13737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E32150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E73D3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E6E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E32150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E73D3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E6E25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9E7412" w:rsidRPr="009E7412" w:rsidRDefault="00E32150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2150">
        <w:rPr>
          <w:rFonts w:ascii="Calibri" w:hAnsi="Calibri" w:cs="Calibri"/>
          <w:b/>
          <w:bCs/>
          <w:sz w:val="20"/>
          <w:szCs w:val="20"/>
        </w:rPr>
        <w:t>Покупателей и арендаторов публичной недвижимости планируют защитить от переплат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Если цену государственной или муниципальной недвижимости либо плат</w:t>
      </w:r>
      <w:r w:rsidR="00CB695C">
        <w:rPr>
          <w:rFonts w:ascii="Calibri" w:hAnsi="Calibri" w:cs="Calibri"/>
          <w:sz w:val="20"/>
          <w:szCs w:val="20"/>
        </w:rPr>
        <w:t>у за ее аренду</w:t>
      </w:r>
      <w:r w:rsidRPr="00E32150">
        <w:rPr>
          <w:rFonts w:ascii="Calibri" w:hAnsi="Calibri" w:cs="Calibri"/>
          <w:sz w:val="20"/>
          <w:szCs w:val="20"/>
        </w:rPr>
        <w:t xml:space="preserve"> определяют по кадастровой стоимости, будут применять ее величину на дату подачи заявления. Речь идет о документе с просьбой продать объект или предоставить его в аренду. Проект внесли в Госдуму.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 xml:space="preserve">Исключение из правила </w:t>
      </w:r>
      <w:r w:rsidR="00BF4E51">
        <w:rPr>
          <w:rFonts w:ascii="Calibri" w:hAnsi="Calibri" w:cs="Calibri"/>
          <w:sz w:val="20"/>
          <w:szCs w:val="20"/>
        </w:rPr>
        <w:t>–</w:t>
      </w:r>
      <w:r w:rsidRPr="00E32150">
        <w:rPr>
          <w:rFonts w:ascii="Calibri" w:hAnsi="Calibri" w:cs="Calibri"/>
          <w:sz w:val="20"/>
          <w:szCs w:val="20"/>
        </w:rPr>
        <w:t xml:space="preserve"> ситуация, когда после подачи заявления кадастровая стоимость по данным ЕГРН </w:t>
      </w:r>
      <w:r w:rsidR="00CB695C">
        <w:rPr>
          <w:rFonts w:ascii="Calibri" w:hAnsi="Calibri" w:cs="Calibri"/>
          <w:sz w:val="20"/>
          <w:szCs w:val="20"/>
        </w:rPr>
        <w:t>уменьшилась</w:t>
      </w:r>
      <w:r w:rsidRPr="00E32150">
        <w:rPr>
          <w:rFonts w:ascii="Calibri" w:hAnsi="Calibri" w:cs="Calibri"/>
          <w:sz w:val="20"/>
          <w:szCs w:val="20"/>
        </w:rPr>
        <w:t xml:space="preserve">. В этом случае </w:t>
      </w:r>
      <w:r w:rsidR="00CB695C">
        <w:rPr>
          <w:rFonts w:ascii="Calibri" w:hAnsi="Calibri" w:cs="Calibri"/>
          <w:sz w:val="20"/>
          <w:szCs w:val="20"/>
        </w:rPr>
        <w:t>будут</w:t>
      </w:r>
      <w:r w:rsidRPr="00E32150">
        <w:rPr>
          <w:rFonts w:ascii="Calibri" w:hAnsi="Calibri" w:cs="Calibri"/>
          <w:sz w:val="20"/>
          <w:szCs w:val="20"/>
        </w:rPr>
        <w:t xml:space="preserve"> учитывать ее значение на день заключения договора </w:t>
      </w:r>
      <w:r w:rsidR="00CB695C" w:rsidRPr="00E32150">
        <w:rPr>
          <w:rFonts w:ascii="Calibri" w:hAnsi="Calibri" w:cs="Calibri"/>
          <w:sz w:val="20"/>
          <w:szCs w:val="20"/>
        </w:rPr>
        <w:t>купли-продажи</w:t>
      </w:r>
      <w:r w:rsidR="00CB695C" w:rsidRPr="00E32150">
        <w:rPr>
          <w:rFonts w:ascii="Calibri" w:hAnsi="Calibri" w:cs="Calibri"/>
          <w:sz w:val="20"/>
          <w:szCs w:val="20"/>
        </w:rPr>
        <w:t xml:space="preserve"> </w:t>
      </w:r>
      <w:r w:rsidR="00CB695C">
        <w:rPr>
          <w:rFonts w:ascii="Calibri" w:hAnsi="Calibri" w:cs="Calibri"/>
          <w:sz w:val="20"/>
          <w:szCs w:val="20"/>
        </w:rPr>
        <w:t xml:space="preserve">или договора </w:t>
      </w:r>
      <w:r w:rsidRPr="00E32150">
        <w:rPr>
          <w:rFonts w:ascii="Calibri" w:hAnsi="Calibri" w:cs="Calibri"/>
          <w:sz w:val="20"/>
          <w:szCs w:val="20"/>
        </w:rPr>
        <w:t>аренды.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Вероятно, новшества заработают через 10 дней после д</w:t>
      </w:r>
      <w:r w:rsidR="00CB695C">
        <w:rPr>
          <w:rFonts w:ascii="Calibri" w:hAnsi="Calibri" w:cs="Calibri"/>
          <w:sz w:val="20"/>
          <w:szCs w:val="20"/>
        </w:rPr>
        <w:t>ня</w:t>
      </w:r>
      <w:r w:rsidRPr="00E32150">
        <w:rPr>
          <w:rFonts w:ascii="Calibri" w:hAnsi="Calibri" w:cs="Calibri"/>
          <w:sz w:val="20"/>
          <w:szCs w:val="20"/>
        </w:rPr>
        <w:t xml:space="preserve"> их опубликования в виде федерального закона.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Сейчас по общему правилу сведения о кадастровой стоимости при</w:t>
      </w:r>
      <w:r w:rsidR="00CB695C">
        <w:rPr>
          <w:rFonts w:ascii="Calibri" w:hAnsi="Calibri" w:cs="Calibri"/>
          <w:sz w:val="20"/>
          <w:szCs w:val="20"/>
        </w:rPr>
        <w:t xml:space="preserve">меняют с 1 января года, </w:t>
      </w:r>
      <w:r w:rsidRPr="00E32150">
        <w:rPr>
          <w:rFonts w:ascii="Calibri" w:hAnsi="Calibri" w:cs="Calibri"/>
          <w:sz w:val="20"/>
          <w:szCs w:val="20"/>
        </w:rPr>
        <w:t>следу</w:t>
      </w:r>
      <w:r w:rsidR="00CB695C">
        <w:rPr>
          <w:rFonts w:ascii="Calibri" w:hAnsi="Calibri" w:cs="Calibri"/>
          <w:sz w:val="20"/>
          <w:szCs w:val="20"/>
        </w:rPr>
        <w:t>ющего</w:t>
      </w:r>
      <w:r w:rsidRPr="00E32150">
        <w:rPr>
          <w:rFonts w:ascii="Calibri" w:hAnsi="Calibri" w:cs="Calibri"/>
          <w:sz w:val="20"/>
          <w:szCs w:val="20"/>
        </w:rPr>
        <w:t xml:space="preserve"> за годом, </w:t>
      </w:r>
      <w:r w:rsidR="00CB695C">
        <w:rPr>
          <w:rFonts w:ascii="Calibri" w:hAnsi="Calibri" w:cs="Calibri"/>
          <w:sz w:val="20"/>
          <w:szCs w:val="20"/>
        </w:rPr>
        <w:t>в котором</w:t>
      </w:r>
      <w:r w:rsidRPr="00E32150">
        <w:rPr>
          <w:rFonts w:ascii="Calibri" w:hAnsi="Calibri" w:cs="Calibri"/>
          <w:sz w:val="20"/>
          <w:szCs w:val="20"/>
        </w:rPr>
        <w:t xml:space="preserve"> вступил в силу акт о результатах ее определения.</w:t>
      </w:r>
    </w:p>
    <w:p w:rsidR="00E73D34" w:rsidRPr="00E73D34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Напомним</w:t>
      </w:r>
      <w:r w:rsidR="00176A2A">
        <w:rPr>
          <w:rFonts w:ascii="Calibri" w:hAnsi="Calibri" w:cs="Calibri"/>
          <w:sz w:val="20"/>
          <w:szCs w:val="20"/>
        </w:rPr>
        <w:t>:</w:t>
      </w:r>
      <w:r w:rsidRPr="00E32150">
        <w:rPr>
          <w:rFonts w:ascii="Calibri" w:hAnsi="Calibri" w:cs="Calibri"/>
          <w:sz w:val="20"/>
          <w:szCs w:val="20"/>
        </w:rPr>
        <w:t xml:space="preserve"> в 2022 году регионы должны провести кадастровую оценку земли, а в 2023 году </w:t>
      </w:r>
      <w:r w:rsidR="00176A2A">
        <w:rPr>
          <w:rFonts w:ascii="Calibri" w:hAnsi="Calibri" w:cs="Calibri"/>
          <w:sz w:val="20"/>
          <w:szCs w:val="20"/>
        </w:rPr>
        <w:t>–</w:t>
      </w:r>
      <w:r w:rsidRPr="00E32150">
        <w:rPr>
          <w:rFonts w:ascii="Calibri" w:hAnsi="Calibri" w:cs="Calibri"/>
          <w:sz w:val="20"/>
          <w:szCs w:val="20"/>
        </w:rPr>
        <w:t xml:space="preserve"> </w:t>
      </w:r>
      <w:r w:rsidR="00176A2A" w:rsidRPr="00E32150">
        <w:rPr>
          <w:rFonts w:ascii="Calibri" w:hAnsi="Calibri" w:cs="Calibri"/>
          <w:sz w:val="20"/>
          <w:szCs w:val="20"/>
        </w:rPr>
        <w:t xml:space="preserve">кадастровую оценку </w:t>
      </w:r>
      <w:r w:rsidRPr="00E32150">
        <w:rPr>
          <w:rFonts w:ascii="Calibri" w:hAnsi="Calibri" w:cs="Calibri"/>
          <w:sz w:val="20"/>
          <w:szCs w:val="20"/>
        </w:rPr>
        <w:t>зданий, помещений, сооружений, недостроя и машино-мест.</w:t>
      </w:r>
    </w:p>
    <w:p w:rsidR="009E7412" w:rsidRPr="009E7412" w:rsidRDefault="00E32150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E32150">
        <w:rPr>
          <w:rFonts w:ascii="Calibri" w:hAnsi="Calibri" w:cs="Calibri"/>
          <w:i/>
          <w:iCs/>
          <w:sz w:val="20"/>
          <w:szCs w:val="20"/>
          <w:u w:val="single"/>
        </w:rPr>
        <w:t>Проект Федерального закона N 175071-8</w:t>
      </w:r>
      <w:r w:rsidR="00E86F93" w:rsidRPr="00E86F93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E7412" w:rsidRPr="008F599B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9E7412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9E7412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)</w:t>
      </w:r>
    </w:p>
    <w:p w:rsidR="009E7412" w:rsidRPr="009E7412" w:rsidRDefault="00E32150" w:rsidP="00A1373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101A11" w:rsidRDefault="00E32150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2150">
        <w:rPr>
          <w:rFonts w:ascii="Calibri" w:hAnsi="Calibri" w:cs="Calibri"/>
          <w:b/>
          <w:bCs/>
          <w:sz w:val="20"/>
          <w:szCs w:val="20"/>
        </w:rPr>
        <w:t>Банкам и МФО рекомендуют сообщать заемщикам-потребителям о последствиях возврата списанных соц</w:t>
      </w:r>
      <w:r>
        <w:rPr>
          <w:rFonts w:ascii="Calibri" w:hAnsi="Calibri" w:cs="Calibri"/>
          <w:b/>
          <w:bCs/>
          <w:sz w:val="20"/>
          <w:szCs w:val="20"/>
        </w:rPr>
        <w:t xml:space="preserve">иальных </w:t>
      </w:r>
      <w:r w:rsidRPr="00E32150">
        <w:rPr>
          <w:rFonts w:ascii="Calibri" w:hAnsi="Calibri" w:cs="Calibri"/>
          <w:b/>
          <w:bCs/>
          <w:sz w:val="20"/>
          <w:szCs w:val="20"/>
        </w:rPr>
        <w:t>выплат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ЦБ РФ дал советы банкам, МФО и другим фин</w:t>
      </w:r>
      <w:r>
        <w:rPr>
          <w:rFonts w:ascii="Calibri" w:hAnsi="Calibri" w:cs="Calibri"/>
          <w:sz w:val="20"/>
          <w:szCs w:val="20"/>
        </w:rPr>
        <w:t xml:space="preserve">ансовым </w:t>
      </w:r>
      <w:r w:rsidRPr="00E32150">
        <w:rPr>
          <w:rFonts w:ascii="Calibri" w:hAnsi="Calibri" w:cs="Calibri"/>
          <w:sz w:val="20"/>
          <w:szCs w:val="20"/>
        </w:rPr>
        <w:t>компаниям на случай, когда гражданин вовремя подает заявление с требованием вернуть периодические соц</w:t>
      </w:r>
      <w:r>
        <w:rPr>
          <w:rFonts w:ascii="Calibri" w:hAnsi="Calibri" w:cs="Calibri"/>
          <w:sz w:val="20"/>
          <w:szCs w:val="20"/>
        </w:rPr>
        <w:t xml:space="preserve">иальные </w:t>
      </w:r>
      <w:r w:rsidRPr="00E32150">
        <w:rPr>
          <w:rFonts w:ascii="Calibri" w:hAnsi="Calibri" w:cs="Calibri"/>
          <w:sz w:val="20"/>
          <w:szCs w:val="20"/>
        </w:rPr>
        <w:t xml:space="preserve">выплаты. Речь идет о деньгах, которые банк физлица по его распоряжению или предварительному акцепту </w:t>
      </w:r>
      <w:r w:rsidR="00176A2A" w:rsidRPr="00E32150">
        <w:rPr>
          <w:rFonts w:ascii="Calibri" w:hAnsi="Calibri" w:cs="Calibri"/>
          <w:sz w:val="20"/>
          <w:szCs w:val="20"/>
        </w:rPr>
        <w:t>направил</w:t>
      </w:r>
      <w:r w:rsidR="00176A2A" w:rsidRPr="00E32150">
        <w:rPr>
          <w:rFonts w:ascii="Calibri" w:hAnsi="Calibri" w:cs="Calibri"/>
          <w:sz w:val="20"/>
          <w:szCs w:val="20"/>
        </w:rPr>
        <w:t xml:space="preserve"> </w:t>
      </w:r>
      <w:r w:rsidRPr="00E32150">
        <w:rPr>
          <w:rFonts w:ascii="Calibri" w:hAnsi="Calibri" w:cs="Calibri"/>
          <w:sz w:val="20"/>
          <w:szCs w:val="20"/>
        </w:rPr>
        <w:t>на погашение потреб</w:t>
      </w:r>
      <w:r>
        <w:rPr>
          <w:rFonts w:ascii="Calibri" w:hAnsi="Calibri" w:cs="Calibri"/>
          <w:sz w:val="20"/>
          <w:szCs w:val="20"/>
        </w:rPr>
        <w:t xml:space="preserve">ительского </w:t>
      </w:r>
      <w:r w:rsidRPr="00E32150">
        <w:rPr>
          <w:rFonts w:ascii="Calibri" w:hAnsi="Calibri" w:cs="Calibri"/>
          <w:sz w:val="20"/>
          <w:szCs w:val="20"/>
        </w:rPr>
        <w:t>кредита либо займа.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Регулятор рекомендует кредиторам при таком обращении должника предварительно уведомить его о следующем: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- текущий долг увеличат на сумму возврата;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- заемщик обязан перечислить кредитору эту сумму и проценты, которые успеют начислить</w:t>
      </w:r>
      <w:r w:rsidR="00176A2A" w:rsidRPr="00176A2A">
        <w:rPr>
          <w:rFonts w:ascii="Calibri" w:hAnsi="Calibri" w:cs="Calibri"/>
          <w:sz w:val="20"/>
          <w:szCs w:val="20"/>
        </w:rPr>
        <w:t xml:space="preserve"> </w:t>
      </w:r>
      <w:r w:rsidR="00176A2A" w:rsidRPr="00E32150">
        <w:rPr>
          <w:rFonts w:ascii="Calibri" w:hAnsi="Calibri" w:cs="Calibri"/>
          <w:sz w:val="20"/>
          <w:szCs w:val="20"/>
        </w:rPr>
        <w:t>на нее</w:t>
      </w:r>
      <w:r w:rsidRPr="00E32150">
        <w:rPr>
          <w:rFonts w:ascii="Calibri" w:hAnsi="Calibri" w:cs="Calibri"/>
          <w:sz w:val="20"/>
          <w:szCs w:val="20"/>
        </w:rPr>
        <w:t>, не позже 7 календарных дней с даты возврата. В это время на долг в размере выплат и процентов на них нельзя начислять неустойку (штраф, пени);</w:t>
      </w:r>
    </w:p>
    <w:p w:rsidR="00E32150" w:rsidRPr="00E32150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2150">
        <w:rPr>
          <w:rFonts w:ascii="Calibri" w:hAnsi="Calibri" w:cs="Calibri"/>
          <w:sz w:val="20"/>
          <w:szCs w:val="20"/>
        </w:rPr>
        <w:t>- если гражданин не выполнит обязанность, долг в размере выплат и процентов признают просроченным.</w:t>
      </w:r>
    </w:p>
    <w:p w:rsidR="00E32150" w:rsidRDefault="00176A2A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</w:t>
      </w:r>
      <w:r w:rsidR="00E32150" w:rsidRPr="00E32150">
        <w:rPr>
          <w:rFonts w:ascii="Calibri" w:hAnsi="Calibri" w:cs="Calibri"/>
          <w:sz w:val="20"/>
          <w:szCs w:val="20"/>
        </w:rPr>
        <w:t xml:space="preserve">ри возврате средств </w:t>
      </w:r>
      <w:r>
        <w:rPr>
          <w:rFonts w:ascii="Calibri" w:hAnsi="Calibri" w:cs="Calibri"/>
          <w:sz w:val="20"/>
          <w:szCs w:val="20"/>
        </w:rPr>
        <w:t>к</w:t>
      </w:r>
      <w:r w:rsidRPr="00E32150">
        <w:rPr>
          <w:rFonts w:ascii="Calibri" w:hAnsi="Calibri" w:cs="Calibri"/>
          <w:sz w:val="20"/>
          <w:szCs w:val="20"/>
        </w:rPr>
        <w:t>редитору</w:t>
      </w:r>
      <w:r w:rsidRPr="00E3215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следует </w:t>
      </w:r>
      <w:r w:rsidR="00E32150" w:rsidRPr="00E32150">
        <w:rPr>
          <w:rFonts w:ascii="Calibri" w:hAnsi="Calibri" w:cs="Calibri"/>
          <w:sz w:val="20"/>
          <w:szCs w:val="20"/>
        </w:rPr>
        <w:t>напомнить потребителю об обязанност</w:t>
      </w:r>
      <w:r>
        <w:rPr>
          <w:rFonts w:ascii="Calibri" w:hAnsi="Calibri" w:cs="Calibri"/>
          <w:sz w:val="20"/>
          <w:szCs w:val="20"/>
        </w:rPr>
        <w:t>и</w:t>
      </w:r>
      <w:r w:rsidR="00E32150" w:rsidRPr="00E32150">
        <w:rPr>
          <w:rFonts w:ascii="Calibri" w:hAnsi="Calibri" w:cs="Calibri"/>
          <w:sz w:val="20"/>
          <w:szCs w:val="20"/>
        </w:rPr>
        <w:t xml:space="preserve"> и последстви</w:t>
      </w:r>
      <w:r>
        <w:rPr>
          <w:rFonts w:ascii="Calibri" w:hAnsi="Calibri" w:cs="Calibri"/>
          <w:sz w:val="20"/>
          <w:szCs w:val="20"/>
        </w:rPr>
        <w:t>и ее неисполнения</w:t>
      </w:r>
      <w:r w:rsidR="00E32150" w:rsidRPr="00E32150">
        <w:rPr>
          <w:rFonts w:ascii="Calibri" w:hAnsi="Calibri" w:cs="Calibri"/>
          <w:sz w:val="20"/>
          <w:szCs w:val="20"/>
        </w:rPr>
        <w:t>.</w:t>
      </w:r>
    </w:p>
    <w:p w:rsidR="00A0107B" w:rsidRPr="00A0107B" w:rsidRDefault="00E32150" w:rsidP="00E321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E32150">
        <w:rPr>
          <w:rFonts w:ascii="Calibri" w:hAnsi="Calibri" w:cs="Calibri"/>
          <w:i/>
          <w:iCs/>
          <w:sz w:val="20"/>
          <w:szCs w:val="20"/>
          <w:u w:val="single"/>
        </w:rPr>
        <w:t>Информационное письмо Банка России от 25.07.2022 N ИН-010-59/96</w:t>
      </w:r>
      <w:r w:rsidRPr="00E3215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0107B" w:rsidRPr="008F599B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A0107B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A0107B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)</w:t>
      </w:r>
    </w:p>
    <w:p w:rsidR="00F304B2" w:rsidRDefault="00F304B2" w:rsidP="00A13737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0"/>
          <w:szCs w:val="20"/>
        </w:rPr>
      </w:pPr>
      <w:r w:rsidRPr="00F304B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D4D78" w:rsidRDefault="00176A2A" w:rsidP="00A13737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С </w:t>
      </w:r>
      <w:r w:rsidR="00CF16A8" w:rsidRPr="00CF16A8">
        <w:rPr>
          <w:rFonts w:ascii="Calibri" w:hAnsi="Calibri" w:cs="Calibri"/>
          <w:b/>
          <w:bCs/>
          <w:sz w:val="20"/>
          <w:szCs w:val="20"/>
        </w:rPr>
        <w:t>1 апреля 2023 года введут новые минимальные требования к некоторым видам добровольного страхования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ЦБ РФ установит минимальные требования к отдельным видам добровольного страхования и к сведениям о договоре, которые обяжут предоставлять физлицам. Положения не затронут страхование: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жизни с условием периодических выплат и (или) с участием клиента в инвест</w:t>
      </w:r>
      <w:r w:rsidR="007D136A">
        <w:rPr>
          <w:rFonts w:cstheme="minorHAnsi"/>
          <w:color w:val="000000" w:themeColor="text1"/>
          <w:sz w:val="20"/>
          <w:szCs w:val="20"/>
        </w:rPr>
        <w:t xml:space="preserve">иционном </w:t>
      </w:r>
      <w:r w:rsidRPr="00CF16A8">
        <w:rPr>
          <w:rFonts w:cstheme="minorHAnsi"/>
          <w:color w:val="000000" w:themeColor="text1"/>
          <w:sz w:val="20"/>
          <w:szCs w:val="20"/>
        </w:rPr>
        <w:t>доходе страховщика;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жизни и здоровья заемщика по договору потребкредита или займа;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имущественных бизнес-интересов.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С 1 апреля 2023 года страховщиков обяжут сообщать физлицам, которые хотят заключить договор, ряд данных. Среди них: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адрес компании для направления юридически значимых сообщений;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QR-код с</w:t>
      </w:r>
      <w:r w:rsidR="00176A2A">
        <w:rPr>
          <w:rFonts w:cstheme="minorHAnsi"/>
          <w:color w:val="000000" w:themeColor="text1"/>
          <w:sz w:val="20"/>
          <w:szCs w:val="20"/>
        </w:rPr>
        <w:t>о</w:t>
      </w:r>
      <w:r w:rsidRPr="00CF16A8">
        <w:rPr>
          <w:rFonts w:cstheme="minorHAnsi"/>
          <w:color w:val="000000" w:themeColor="text1"/>
          <w:sz w:val="20"/>
          <w:szCs w:val="20"/>
        </w:rPr>
        <w:t xml:space="preserve"> ссылкой на страницу сайта</w:t>
      </w:r>
      <w:r w:rsidR="00176A2A" w:rsidRPr="00176A2A">
        <w:rPr>
          <w:rFonts w:cstheme="minorHAnsi"/>
          <w:color w:val="000000" w:themeColor="text1"/>
          <w:sz w:val="20"/>
          <w:szCs w:val="20"/>
        </w:rPr>
        <w:t xml:space="preserve"> </w:t>
      </w:r>
      <w:r w:rsidR="00176A2A" w:rsidRPr="00CF16A8">
        <w:rPr>
          <w:rFonts w:cstheme="minorHAnsi"/>
          <w:color w:val="000000" w:themeColor="text1"/>
          <w:sz w:val="20"/>
          <w:szCs w:val="20"/>
        </w:rPr>
        <w:t>компании</w:t>
      </w:r>
      <w:r w:rsidRPr="00CF16A8">
        <w:rPr>
          <w:rFonts w:cstheme="minorHAnsi"/>
          <w:color w:val="000000" w:themeColor="text1"/>
          <w:sz w:val="20"/>
          <w:szCs w:val="20"/>
        </w:rPr>
        <w:t>, на которой она разместила правила страхования;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страховые риски. Если не приводить полный список, надо дать ссылку на положения правил, где он указан;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территория страхования, если это не вся Россия;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- случаи досрочного прекращения договора, когда компания полностью или частично возвращает страховую премию. По каждой ситуации нужно обозначить сумму возврата. Также следует разъяснить, что в других случаях премия остается у страховщика.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Излагать сведения потребуют в ключевом информационном документе не более чем на 3 страницах формата А4.</w:t>
      </w:r>
    </w:p>
    <w:p w:rsidR="00CF16A8" w:rsidRPr="00CF16A8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Премию нужно будет вернуть, если гражданин откажется от страхования из-за того, что ему не предоставили информацию о договоре, передали неполные или недостоверные данные. Речь идет о деньгах за вычетом платы за время действия страховки. На перечисление средств отведут 7 рабочих дней с даты, когда компания получит заявление об отказе.</w:t>
      </w:r>
    </w:p>
    <w:p w:rsidR="00142651" w:rsidRDefault="00CF16A8" w:rsidP="00CF16A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F16A8">
        <w:rPr>
          <w:rFonts w:cstheme="minorHAnsi"/>
          <w:color w:val="000000" w:themeColor="text1"/>
          <w:sz w:val="20"/>
          <w:szCs w:val="20"/>
        </w:rPr>
        <w:t>Условие о возврате обяжут включать в договоры.</w:t>
      </w:r>
    </w:p>
    <w:p w:rsidR="00FE367F" w:rsidRPr="00562E1C" w:rsidRDefault="00CF16A8" w:rsidP="003D4D78">
      <w:pPr>
        <w:spacing w:after="0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CF16A8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Указание Банка России от 29.03.2022 N 6109-У</w:t>
      </w:r>
      <w:r w:rsidRPr="007D136A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562E1C" w:rsidRDefault="00562E1C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C11BFA" w:rsidRPr="00466AC4" w:rsidRDefault="00466AC4" w:rsidP="00A13737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466AC4">
        <w:rPr>
          <w:rFonts w:cstheme="minorHAnsi"/>
          <w:i/>
          <w:iCs/>
          <w:color w:val="000000" w:themeColor="text1"/>
          <w:sz w:val="28"/>
          <w:szCs w:val="28"/>
        </w:rPr>
        <w:t>Аналитика</w:t>
      </w:r>
    </w:p>
    <w:p w:rsidR="00466AC4" w:rsidRDefault="00885139" w:rsidP="00A1373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85139">
        <w:rPr>
          <w:rFonts w:cs="Arial"/>
          <w:b/>
          <w:bCs/>
          <w:iCs/>
          <w:sz w:val="20"/>
          <w:szCs w:val="20"/>
        </w:rPr>
        <w:t xml:space="preserve">Топ-3 </w:t>
      </w:r>
      <w:r w:rsidR="00DD3DC9">
        <w:rPr>
          <w:rFonts w:cs="Arial"/>
          <w:b/>
          <w:bCs/>
          <w:iCs/>
          <w:sz w:val="20"/>
          <w:szCs w:val="20"/>
        </w:rPr>
        <w:t>«</w:t>
      </w:r>
      <w:r w:rsidRPr="00885139">
        <w:rPr>
          <w:rFonts w:cs="Arial"/>
          <w:b/>
          <w:bCs/>
          <w:iCs/>
          <w:sz w:val="20"/>
          <w:szCs w:val="20"/>
        </w:rPr>
        <w:t>поворотных</w:t>
      </w:r>
      <w:r w:rsidR="00DD3DC9">
        <w:rPr>
          <w:rFonts w:cs="Arial"/>
          <w:b/>
          <w:bCs/>
          <w:iCs/>
          <w:sz w:val="20"/>
          <w:szCs w:val="20"/>
        </w:rPr>
        <w:t>»</w:t>
      </w:r>
      <w:r w:rsidRPr="00885139">
        <w:rPr>
          <w:rFonts w:cs="Arial"/>
          <w:b/>
          <w:bCs/>
          <w:iCs/>
          <w:sz w:val="20"/>
          <w:szCs w:val="20"/>
        </w:rPr>
        <w:t xml:space="preserve"> дел арбитражных судов округов для юриста</w:t>
      </w:r>
      <w:r w:rsidR="00176A2A">
        <w:rPr>
          <w:rFonts w:cs="Arial"/>
          <w:b/>
          <w:bCs/>
          <w:iCs/>
          <w:sz w:val="20"/>
          <w:szCs w:val="20"/>
        </w:rPr>
        <w:t xml:space="preserve"> за</w:t>
      </w:r>
      <w:r w:rsidRPr="00885139">
        <w:rPr>
          <w:rFonts w:cs="Arial"/>
          <w:b/>
          <w:bCs/>
          <w:iCs/>
          <w:sz w:val="20"/>
          <w:szCs w:val="20"/>
        </w:rPr>
        <w:t xml:space="preserve"> июль 2022 года</w:t>
      </w:r>
    </w:p>
    <w:p w:rsidR="0060481E" w:rsidRDefault="00885139" w:rsidP="00A13737">
      <w:pPr>
        <w:spacing w:after="0"/>
        <w:jc w:val="both"/>
        <w:rPr>
          <w:rFonts w:cs="Arial"/>
          <w:iCs/>
          <w:sz w:val="20"/>
          <w:szCs w:val="20"/>
        </w:rPr>
      </w:pPr>
      <w:r w:rsidRPr="00885139">
        <w:rPr>
          <w:rFonts w:cs="Arial"/>
          <w:iCs/>
          <w:sz w:val="20"/>
          <w:szCs w:val="20"/>
        </w:rPr>
        <w:lastRenderedPageBreak/>
        <w:t>За июль в системе КонсультантПлюс появилось более 6</w:t>
      </w:r>
      <w:r w:rsidR="00176A2A" w:rsidRPr="00917A4A">
        <w:rPr>
          <w:rFonts w:cstheme="minorHAnsi"/>
          <w:bCs/>
          <w:sz w:val="20"/>
          <w:szCs w:val="20"/>
        </w:rPr>
        <w:t> </w:t>
      </w:r>
      <w:r w:rsidRPr="00885139">
        <w:rPr>
          <w:rFonts w:cs="Arial"/>
          <w:iCs/>
          <w:sz w:val="20"/>
          <w:szCs w:val="20"/>
        </w:rPr>
        <w:t xml:space="preserve">500 новых постановлений судов округов. Мы отобрали интересные споры, в которых кассация не согласилась с нижестоящими судами. Расскажем о восстановлении срока на обжалование, </w:t>
      </w:r>
      <w:r w:rsidR="00480913">
        <w:rPr>
          <w:rFonts w:cs="Arial"/>
          <w:iCs/>
          <w:sz w:val="20"/>
          <w:szCs w:val="20"/>
        </w:rPr>
        <w:t xml:space="preserve">о </w:t>
      </w:r>
      <w:r w:rsidRPr="00885139">
        <w:rPr>
          <w:rFonts w:cs="Arial"/>
          <w:iCs/>
          <w:sz w:val="20"/>
          <w:szCs w:val="20"/>
        </w:rPr>
        <w:t xml:space="preserve">взыскании платы за оказание услуг без </w:t>
      </w:r>
      <w:r w:rsidR="00480913">
        <w:rPr>
          <w:rFonts w:cs="Arial"/>
          <w:iCs/>
          <w:sz w:val="20"/>
          <w:szCs w:val="20"/>
        </w:rPr>
        <w:t xml:space="preserve">заключения </w:t>
      </w:r>
      <w:r w:rsidRPr="00885139">
        <w:rPr>
          <w:rFonts w:cs="Arial"/>
          <w:iCs/>
          <w:sz w:val="20"/>
          <w:szCs w:val="20"/>
        </w:rPr>
        <w:t>договора, о неустойке при переносе поставки.</w:t>
      </w:r>
    </w:p>
    <w:p w:rsidR="00466AC4" w:rsidRPr="00466AC4" w:rsidRDefault="00885139" w:rsidP="0088513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85139">
        <w:rPr>
          <w:rFonts w:cs="Arial"/>
          <w:i/>
          <w:sz w:val="20"/>
          <w:szCs w:val="20"/>
          <w:u w:val="single"/>
        </w:rPr>
        <w:t xml:space="preserve">Обзор: </w:t>
      </w:r>
      <w:r w:rsidR="00DD3DC9">
        <w:rPr>
          <w:rFonts w:cs="Arial"/>
          <w:i/>
          <w:sz w:val="20"/>
          <w:szCs w:val="20"/>
          <w:u w:val="single"/>
        </w:rPr>
        <w:t>«</w:t>
      </w:r>
      <w:r w:rsidRPr="00885139">
        <w:rPr>
          <w:rFonts w:cs="Arial"/>
          <w:i/>
          <w:sz w:val="20"/>
          <w:szCs w:val="20"/>
          <w:u w:val="single"/>
        </w:rPr>
        <w:t xml:space="preserve">Топ-3 </w:t>
      </w:r>
      <w:r w:rsidR="00DD3DC9">
        <w:rPr>
          <w:rFonts w:cs="Arial"/>
          <w:i/>
          <w:sz w:val="20"/>
          <w:szCs w:val="20"/>
          <w:u w:val="single"/>
        </w:rPr>
        <w:t>«</w:t>
      </w:r>
      <w:r w:rsidRPr="00885139">
        <w:rPr>
          <w:rFonts w:cs="Arial"/>
          <w:i/>
          <w:sz w:val="20"/>
          <w:szCs w:val="20"/>
          <w:u w:val="single"/>
        </w:rPr>
        <w:t>поворотных</w:t>
      </w:r>
      <w:r w:rsidR="00DD3DC9">
        <w:rPr>
          <w:rFonts w:cs="Arial"/>
          <w:i/>
          <w:sz w:val="20"/>
          <w:szCs w:val="20"/>
          <w:u w:val="single"/>
        </w:rPr>
        <w:t>»</w:t>
      </w:r>
      <w:r w:rsidRPr="00885139">
        <w:rPr>
          <w:rFonts w:cs="Arial"/>
          <w:i/>
          <w:sz w:val="20"/>
          <w:szCs w:val="20"/>
          <w:u w:val="single"/>
        </w:rPr>
        <w:t xml:space="preserve"> дел арбитражных судов округов для юриста: июль 2022 года</w:t>
      </w:r>
      <w:r w:rsidR="00DD3DC9">
        <w:rPr>
          <w:rFonts w:cs="Arial"/>
          <w:i/>
          <w:sz w:val="20"/>
          <w:szCs w:val="20"/>
          <w:u w:val="single"/>
        </w:rPr>
        <w:t>»</w:t>
      </w:r>
      <w:r w:rsidR="00480913">
        <w:rPr>
          <w:rFonts w:cs="Arial"/>
          <w:i/>
          <w:sz w:val="20"/>
          <w:szCs w:val="20"/>
          <w:u w:val="single"/>
        </w:rPr>
        <w:t xml:space="preserve"> </w:t>
      </w:r>
      <w:bookmarkStart w:id="2" w:name="_GoBack"/>
      <w:bookmarkEnd w:id="2"/>
      <w:r w:rsidRPr="00885139">
        <w:rPr>
          <w:rFonts w:cs="Arial"/>
          <w:i/>
          <w:sz w:val="20"/>
          <w:szCs w:val="20"/>
          <w:u w:val="single"/>
        </w:rPr>
        <w:t>(КонсультантПлюс, 2022</w:t>
      </w:r>
      <w:r w:rsidRPr="00885139">
        <w:rPr>
          <w:rFonts w:cs="Arial"/>
          <w:i/>
          <w:sz w:val="20"/>
          <w:szCs w:val="20"/>
        </w:rPr>
        <w:t>)</w:t>
      </w:r>
      <w:r w:rsidRPr="00885139">
        <w:rPr>
          <w:rFonts w:cs="Arial"/>
          <w:i/>
          <w:iCs/>
          <w:sz w:val="20"/>
          <w:szCs w:val="20"/>
        </w:rPr>
        <w:t xml:space="preserve"> </w:t>
      </w:r>
      <w:r w:rsidR="00466AC4" w:rsidRPr="00885139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466AC4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66AC4" w:rsidRPr="0081446C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466AC4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466AC4" w:rsidRPr="0081446C">
        <w:rPr>
          <w:rFonts w:cstheme="minorHAnsi"/>
          <w:i/>
          <w:iCs/>
          <w:sz w:val="20"/>
          <w:szCs w:val="20"/>
        </w:rPr>
        <w:t>)</w:t>
      </w:r>
    </w:p>
    <w:p w:rsidR="00466AC4" w:rsidRDefault="00466AC4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466AC4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88" w:rsidRDefault="006B0788" w:rsidP="00165173">
      <w:pPr>
        <w:spacing w:after="0" w:line="240" w:lineRule="auto"/>
      </w:pPr>
      <w:r>
        <w:separator/>
      </w:r>
    </w:p>
  </w:endnote>
  <w:endnote w:type="continuationSeparator" w:id="0">
    <w:p w:rsidR="006B0788" w:rsidRDefault="006B078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88" w:rsidRDefault="006B0788" w:rsidP="00165173">
      <w:pPr>
        <w:spacing w:after="0" w:line="240" w:lineRule="auto"/>
      </w:pPr>
      <w:r>
        <w:separator/>
      </w:r>
    </w:p>
  </w:footnote>
  <w:footnote w:type="continuationSeparator" w:id="0">
    <w:p w:rsidR="006B0788" w:rsidRDefault="006B078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76A2A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1F3563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65911"/>
    <w:rsid w:val="00274C6B"/>
    <w:rsid w:val="00274FBB"/>
    <w:rsid w:val="00281806"/>
    <w:rsid w:val="0028278B"/>
    <w:rsid w:val="00284BF5"/>
    <w:rsid w:val="00284F26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3DBC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23ABE"/>
    <w:rsid w:val="00331247"/>
    <w:rsid w:val="003318E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5D7B"/>
    <w:rsid w:val="00357639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49AB"/>
    <w:rsid w:val="003E7F08"/>
    <w:rsid w:val="003F06CF"/>
    <w:rsid w:val="003F110C"/>
    <w:rsid w:val="003F2F27"/>
    <w:rsid w:val="003F66ED"/>
    <w:rsid w:val="003F6F68"/>
    <w:rsid w:val="003F7629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530"/>
    <w:rsid w:val="0043061D"/>
    <w:rsid w:val="004307FF"/>
    <w:rsid w:val="00431987"/>
    <w:rsid w:val="004319D5"/>
    <w:rsid w:val="00434023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CA8"/>
    <w:rsid w:val="005A3EF3"/>
    <w:rsid w:val="005A431E"/>
    <w:rsid w:val="005A4D8E"/>
    <w:rsid w:val="005B11D4"/>
    <w:rsid w:val="005B309F"/>
    <w:rsid w:val="005B6A77"/>
    <w:rsid w:val="005B7A3F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136A"/>
    <w:rsid w:val="007D427B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52E4"/>
    <w:rsid w:val="0082674F"/>
    <w:rsid w:val="008313E5"/>
    <w:rsid w:val="008330F9"/>
    <w:rsid w:val="00833215"/>
    <w:rsid w:val="00833C83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603D2"/>
    <w:rsid w:val="00860EC9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32B7"/>
    <w:rsid w:val="009249F7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18D7"/>
    <w:rsid w:val="009C3056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3737"/>
    <w:rsid w:val="00A14808"/>
    <w:rsid w:val="00A14EA1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670BB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5BDB"/>
    <w:rsid w:val="00A9738D"/>
    <w:rsid w:val="00AA03F9"/>
    <w:rsid w:val="00AA1D83"/>
    <w:rsid w:val="00AA430F"/>
    <w:rsid w:val="00AA4971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E0DE9"/>
    <w:rsid w:val="00AE235D"/>
    <w:rsid w:val="00AE4F04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389D"/>
    <w:rsid w:val="00B847D9"/>
    <w:rsid w:val="00B854F9"/>
    <w:rsid w:val="00B867AD"/>
    <w:rsid w:val="00B86874"/>
    <w:rsid w:val="00B87F7B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BF4E51"/>
    <w:rsid w:val="00C035C0"/>
    <w:rsid w:val="00C03F5C"/>
    <w:rsid w:val="00C052C8"/>
    <w:rsid w:val="00C05C02"/>
    <w:rsid w:val="00C05D62"/>
    <w:rsid w:val="00C068BF"/>
    <w:rsid w:val="00C07924"/>
    <w:rsid w:val="00C11BFA"/>
    <w:rsid w:val="00C12799"/>
    <w:rsid w:val="00C13589"/>
    <w:rsid w:val="00C163DA"/>
    <w:rsid w:val="00C16607"/>
    <w:rsid w:val="00C16FC0"/>
    <w:rsid w:val="00C21C1E"/>
    <w:rsid w:val="00C22FA7"/>
    <w:rsid w:val="00C25FDD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6AE3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4D9D"/>
    <w:rsid w:val="00EE0279"/>
    <w:rsid w:val="00EE0D16"/>
    <w:rsid w:val="00EE68A8"/>
    <w:rsid w:val="00EE6C3A"/>
    <w:rsid w:val="00EE7529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04B2"/>
    <w:rsid w:val="00F321DF"/>
    <w:rsid w:val="00F3223E"/>
    <w:rsid w:val="00F40545"/>
    <w:rsid w:val="00F50537"/>
    <w:rsid w:val="00F515DC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268DB3C19F5BB51D6261BDFADAF2CB8E4EB4DE4C1509E857FF4790A1FCD19713B6CC0572D71E9B2E82D3410C6F07FA52F9A8B86F1DDA3CBEs3RCT" TargetMode="External"/><Relationship Id="rId13" Type="http://schemas.openxmlformats.org/officeDocument/2006/relationships/hyperlink" Target="https://login.consultant.ru/link/?req=doc&amp;base=LAW&amp;n=422971&amp;dst=100004%2C2&amp;date=07.08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8B4DD7A6E77862E941FBC5DF5243B3918A81DE35F91C2F482FE72932E0E15B956D88821B13E520EA38AF651D1148492A7B9947CC122599AAc0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880&amp;dst=100005&amp;date=07.08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4088&amp;dst=1000000001&amp;date=07.08.2022" TargetMode="External"/><Relationship Id="rId10" Type="http://schemas.openxmlformats.org/officeDocument/2006/relationships/hyperlink" Target="consultantplus://offline/ref=FD8C8191437152E36AF568E1015A0CF5C791CF4170CB2D15F07F56481CDFB083773A03C751774893CF0FB0979D296A3F88F54EE8F968C75BG6VF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RJ&amp;n=223149&amp;dst=100003%2C-1&amp;date=07.08.2022" TargetMode="External"/><Relationship Id="rId14" Type="http://schemas.openxmlformats.org/officeDocument/2006/relationships/hyperlink" Target="consultantplus://offline/ref=81825608F09D14B0E4DECA0D4F739D0EB1726B3AD9259D98071B83FA016C032D4DE3E40A54DEEB34C57DCD2E9D9B592441ED7C52E37F2D36WA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843D-DAFB-452C-80AA-F0B3C1A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2022-08-01T19:22:00Z</dcterms:created>
  <dcterms:modified xsi:type="dcterms:W3CDTF">2022-08-08T13:08:00Z</dcterms:modified>
</cp:coreProperties>
</file>