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A13737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7E6E25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E73D3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7E6E25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E73D3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9E7412" w:rsidRPr="009E7412" w:rsidRDefault="007E6E25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E6E25">
        <w:rPr>
          <w:rFonts w:ascii="Calibri" w:hAnsi="Calibri" w:cs="Calibri"/>
          <w:b/>
          <w:bCs/>
          <w:sz w:val="20"/>
          <w:szCs w:val="20"/>
        </w:rPr>
        <w:t>Определили, какие сведения об абонентах операторы связи должны передавать Роскомнадзору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Правительство установило, в каком составе, как и когда операторы мобильной связи обязаны направлять в Роскомнадзор ряд данных. Они нужны ему для мониторинга того, проверяют ли операторы достоверность сведений об абонентах, а также о пользователях услуг корпоративной связи.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Операторы должны представить, в частности, такую информацию: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 xml:space="preserve">- Ф.И.О. абонента-физлица, дату рождения, наименование удостоверения личности, его серию, номер и дату </w:t>
      </w:r>
      <w:r w:rsidR="00D312F9">
        <w:rPr>
          <w:rFonts w:ascii="Calibri" w:hAnsi="Calibri" w:cs="Calibri"/>
          <w:sz w:val="20"/>
          <w:szCs w:val="20"/>
        </w:rPr>
        <w:t xml:space="preserve">его </w:t>
      </w:r>
      <w:r w:rsidRPr="007E6E25">
        <w:rPr>
          <w:rFonts w:ascii="Calibri" w:hAnsi="Calibri" w:cs="Calibri"/>
          <w:sz w:val="20"/>
          <w:szCs w:val="20"/>
        </w:rPr>
        <w:t>выдачи;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- наименование, ИНН и ОГРН абонента-компании;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- Ф.И.О. пользователя услуг корпоративной связи и те же реквизиты удостоверения личности;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- Ф.И.О. абонента-ИП, те же реквизиты удостоверения личности и ОГРН.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Передать сведения надо, в частности, при подключении к информ</w:t>
      </w:r>
      <w:r>
        <w:rPr>
          <w:rFonts w:ascii="Calibri" w:hAnsi="Calibri" w:cs="Calibri"/>
          <w:sz w:val="20"/>
          <w:szCs w:val="20"/>
        </w:rPr>
        <w:t xml:space="preserve">ационному </w:t>
      </w:r>
      <w:r w:rsidRPr="007E6E25">
        <w:rPr>
          <w:rFonts w:ascii="Calibri" w:hAnsi="Calibri" w:cs="Calibri"/>
          <w:sz w:val="20"/>
          <w:szCs w:val="20"/>
        </w:rPr>
        <w:t>ресурсу ведомства через личный кабинет.</w:t>
      </w:r>
    </w:p>
    <w:p w:rsidR="007E6E25" w:rsidRPr="007E6E25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Выполнить обязанность нужно не позже 180 календарных дней с даты, когда оператору поступит уведомление Роскомнадзора о вводе информ</w:t>
      </w:r>
      <w:r>
        <w:rPr>
          <w:rFonts w:ascii="Calibri" w:hAnsi="Calibri" w:cs="Calibri"/>
          <w:sz w:val="20"/>
          <w:szCs w:val="20"/>
        </w:rPr>
        <w:t xml:space="preserve">ационного </w:t>
      </w:r>
      <w:r w:rsidRPr="007E6E25">
        <w:rPr>
          <w:rFonts w:ascii="Calibri" w:hAnsi="Calibri" w:cs="Calibri"/>
          <w:sz w:val="20"/>
          <w:szCs w:val="20"/>
        </w:rPr>
        <w:t>ресурса в эксплуатацию. Это касается тех, кто получил лицензию на оказание услуг мобильной связи до 25 июля включительно. Для остальных операторов установили иные сроки.</w:t>
      </w:r>
    </w:p>
    <w:p w:rsidR="00E73D34" w:rsidRPr="00E73D34" w:rsidRDefault="007E6E25" w:rsidP="007E6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E25">
        <w:rPr>
          <w:rFonts w:ascii="Calibri" w:hAnsi="Calibri" w:cs="Calibri"/>
          <w:sz w:val="20"/>
          <w:szCs w:val="20"/>
        </w:rPr>
        <w:t>Есть и другие положения.</w:t>
      </w:r>
    </w:p>
    <w:p w:rsidR="009E7412" w:rsidRPr="009E7412" w:rsidRDefault="00E86F93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E86F93">
        <w:rPr>
          <w:rFonts w:ascii="Calibri" w:hAnsi="Calibri" w:cs="Calibri"/>
          <w:i/>
          <w:iCs/>
          <w:sz w:val="20"/>
          <w:szCs w:val="20"/>
          <w:u w:val="single"/>
        </w:rPr>
        <w:t>Постановление Правительства РФ от 22.07.2022 N 1313</w:t>
      </w:r>
      <w:r w:rsidRPr="00E86F93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E7412" w:rsidRPr="008F599B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9E7412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9E7412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9E7412" w:rsidRPr="0081446C">
        <w:rPr>
          <w:rFonts w:cstheme="minorHAnsi"/>
          <w:i/>
          <w:iCs/>
          <w:sz w:val="20"/>
          <w:szCs w:val="20"/>
        </w:rPr>
        <w:t>)</w:t>
      </w:r>
    </w:p>
    <w:p w:rsidR="009E7412" w:rsidRPr="009E7412" w:rsidRDefault="009E7412" w:rsidP="00A13737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01A11" w:rsidRDefault="0046214A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6214A">
        <w:rPr>
          <w:rFonts w:ascii="Calibri" w:hAnsi="Calibri" w:cs="Calibri"/>
          <w:b/>
          <w:bCs/>
          <w:sz w:val="20"/>
          <w:szCs w:val="20"/>
        </w:rPr>
        <w:t>Обязательная оценка соответствия: 22 июля упростили ввоз и маркировку товаров</w:t>
      </w:r>
    </w:p>
    <w:p w:rsidR="0046214A" w:rsidRPr="0046214A" w:rsidRDefault="0046214A" w:rsidP="004621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6214A">
        <w:rPr>
          <w:rFonts w:ascii="Calibri" w:hAnsi="Calibri" w:cs="Calibri"/>
          <w:sz w:val="20"/>
          <w:szCs w:val="20"/>
        </w:rPr>
        <w:t>Закрепили новую особенность импорта в РФ продукции, для оборота которой выдали сертификаты соответствия и (или) декларации о соответствии требованиям к серийным товарам. Декларантам не нужно подтверждать таможенным органам право использовать эти документы.</w:t>
      </w:r>
    </w:p>
    <w:p w:rsidR="0046214A" w:rsidRPr="0046214A" w:rsidRDefault="0046214A" w:rsidP="004621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6214A">
        <w:rPr>
          <w:rFonts w:ascii="Calibri" w:hAnsi="Calibri" w:cs="Calibri"/>
          <w:sz w:val="20"/>
          <w:szCs w:val="20"/>
        </w:rPr>
        <w:t>До 1 марта 2023 года продукцию разрешили маркировать знаком соответствия или знаком обращения на рынке. Речь идет о товарах, соответствие которых подтвердили в спец</w:t>
      </w:r>
      <w:r>
        <w:rPr>
          <w:rFonts w:ascii="Calibri" w:hAnsi="Calibri" w:cs="Calibri"/>
          <w:sz w:val="20"/>
          <w:szCs w:val="20"/>
        </w:rPr>
        <w:t xml:space="preserve">иальном </w:t>
      </w:r>
      <w:r w:rsidRPr="0046214A">
        <w:rPr>
          <w:rFonts w:ascii="Calibri" w:hAnsi="Calibri" w:cs="Calibri"/>
          <w:sz w:val="20"/>
          <w:szCs w:val="20"/>
        </w:rPr>
        <w:t>порядке. Напомним</w:t>
      </w:r>
      <w:r w:rsidR="00D123D1">
        <w:rPr>
          <w:rFonts w:ascii="Calibri" w:hAnsi="Calibri" w:cs="Calibri"/>
          <w:sz w:val="20"/>
          <w:szCs w:val="20"/>
        </w:rPr>
        <w:t>:</w:t>
      </w:r>
      <w:r w:rsidRPr="0046214A">
        <w:rPr>
          <w:rFonts w:ascii="Calibri" w:hAnsi="Calibri" w:cs="Calibri"/>
          <w:sz w:val="20"/>
          <w:szCs w:val="20"/>
        </w:rPr>
        <w:t xml:space="preserve"> ранее в Законе о техническом регулировании установили</w:t>
      </w:r>
      <w:r w:rsidR="00D123D1">
        <w:rPr>
          <w:rFonts w:ascii="Calibri" w:hAnsi="Calibri" w:cs="Calibri"/>
          <w:sz w:val="20"/>
          <w:szCs w:val="20"/>
        </w:rPr>
        <w:t>, что</w:t>
      </w:r>
      <w:r w:rsidRPr="0046214A">
        <w:rPr>
          <w:rFonts w:ascii="Calibri" w:hAnsi="Calibri" w:cs="Calibri"/>
          <w:sz w:val="20"/>
          <w:szCs w:val="20"/>
        </w:rPr>
        <w:t xml:space="preserve"> на такую продукцию надо наносить знак обращения на рынке.</w:t>
      </w:r>
    </w:p>
    <w:p w:rsidR="008F599B" w:rsidRPr="00101A11" w:rsidRDefault="0046214A" w:rsidP="004621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6214A">
        <w:rPr>
          <w:rFonts w:ascii="Calibri" w:hAnsi="Calibri" w:cs="Calibri"/>
          <w:sz w:val="20"/>
          <w:szCs w:val="20"/>
        </w:rPr>
        <w:t>При этом сохранили антикризисное правило о том, что до 1 марта 2023 года продукцию для оборота в РФ можно ввозить без маркировки.</w:t>
      </w:r>
    </w:p>
    <w:p w:rsidR="00A0107B" w:rsidRPr="00A0107B" w:rsidRDefault="00AF7B0D" w:rsidP="00A137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AF7B0D">
        <w:rPr>
          <w:rFonts w:ascii="Calibri" w:hAnsi="Calibri" w:cs="Calibri"/>
          <w:i/>
          <w:iCs/>
          <w:sz w:val="20"/>
          <w:szCs w:val="20"/>
          <w:u w:val="single"/>
        </w:rPr>
        <w:t>Постановление Правительства РФ от 13.07.2022 N 1249</w:t>
      </w:r>
      <w:r w:rsidR="00F304B2" w:rsidRPr="00F304B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0107B" w:rsidRPr="008F599B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A0107B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A0107B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107B" w:rsidRPr="0081446C">
        <w:rPr>
          <w:rFonts w:cstheme="minorHAnsi"/>
          <w:i/>
          <w:iCs/>
          <w:sz w:val="20"/>
          <w:szCs w:val="20"/>
        </w:rPr>
        <w:t>)</w:t>
      </w:r>
    </w:p>
    <w:p w:rsidR="00F304B2" w:rsidRDefault="00F304B2" w:rsidP="00A13737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0"/>
          <w:szCs w:val="20"/>
        </w:rPr>
      </w:pPr>
      <w:r w:rsidRPr="00F304B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D4D78" w:rsidRDefault="003D4D78" w:rsidP="00A13737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3D4D78">
        <w:rPr>
          <w:rFonts w:ascii="Calibri" w:hAnsi="Calibri" w:cs="Calibri"/>
          <w:b/>
          <w:bCs/>
          <w:sz w:val="20"/>
          <w:szCs w:val="20"/>
        </w:rPr>
        <w:t>Импортеров услуг и результатов интеллектуальной деятельности больше не ограничивают в размере аванса</w:t>
      </w:r>
    </w:p>
    <w:p w:rsidR="003D4D78" w:rsidRPr="003D4D78" w:rsidRDefault="003D4D78" w:rsidP="003D4D7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D4D78">
        <w:rPr>
          <w:rFonts w:cstheme="minorHAnsi"/>
          <w:color w:val="000000" w:themeColor="text1"/>
          <w:sz w:val="20"/>
          <w:szCs w:val="20"/>
        </w:rPr>
        <w:t>С 20 июля ЦБ РФ среди прочего отменил общее правило о том, что предоплата в пользу нерезидентов не может превышать 30% от суммы обязательств по каждому контракту. Речь идет о договорах, по которым иностранные компании и физлица:</w:t>
      </w:r>
    </w:p>
    <w:p w:rsidR="003D4D78" w:rsidRPr="003D4D78" w:rsidRDefault="003D4D78" w:rsidP="003D4D7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D4D78">
        <w:rPr>
          <w:rFonts w:cstheme="minorHAnsi"/>
          <w:color w:val="000000" w:themeColor="text1"/>
          <w:sz w:val="20"/>
          <w:szCs w:val="20"/>
        </w:rPr>
        <w:t xml:space="preserve">- оказывают </w:t>
      </w:r>
      <w:r w:rsidR="00D123D1" w:rsidRPr="003D4D78">
        <w:rPr>
          <w:rFonts w:cstheme="minorHAnsi"/>
          <w:color w:val="000000" w:themeColor="text1"/>
          <w:sz w:val="20"/>
          <w:szCs w:val="20"/>
        </w:rPr>
        <w:t>услуги</w:t>
      </w:r>
      <w:r w:rsidR="00D123D1" w:rsidRPr="003D4D78">
        <w:rPr>
          <w:rFonts w:cstheme="minorHAnsi"/>
          <w:color w:val="000000" w:themeColor="text1"/>
          <w:sz w:val="20"/>
          <w:szCs w:val="20"/>
        </w:rPr>
        <w:t xml:space="preserve"> </w:t>
      </w:r>
      <w:r w:rsidRPr="003D4D78">
        <w:rPr>
          <w:rFonts w:cstheme="minorHAnsi"/>
          <w:color w:val="000000" w:themeColor="text1"/>
          <w:sz w:val="20"/>
          <w:szCs w:val="20"/>
        </w:rPr>
        <w:t xml:space="preserve">резидентам (кроме граждан </w:t>
      </w:r>
      <w:r w:rsidR="00882AD1">
        <w:rPr>
          <w:rFonts w:cstheme="minorHAnsi"/>
          <w:color w:val="000000" w:themeColor="text1"/>
          <w:sz w:val="20"/>
          <w:szCs w:val="20"/>
        </w:rPr>
        <w:t>–</w:t>
      </w:r>
      <w:r w:rsidRPr="003D4D78">
        <w:rPr>
          <w:rFonts w:cstheme="minorHAnsi"/>
          <w:color w:val="000000" w:themeColor="text1"/>
          <w:sz w:val="20"/>
          <w:szCs w:val="20"/>
        </w:rPr>
        <w:t xml:space="preserve"> не ИП, российских банков и </w:t>
      </w:r>
      <w:proofErr w:type="spellStart"/>
      <w:r w:rsidRPr="003D4D78">
        <w:rPr>
          <w:rFonts w:cstheme="minorHAnsi"/>
          <w:color w:val="000000" w:themeColor="text1"/>
          <w:sz w:val="20"/>
          <w:szCs w:val="20"/>
        </w:rPr>
        <w:t>госкорпорации</w:t>
      </w:r>
      <w:proofErr w:type="spellEnd"/>
      <w:r w:rsidRPr="003D4D78">
        <w:rPr>
          <w:rFonts w:cstheme="minorHAnsi"/>
          <w:color w:val="000000" w:themeColor="text1"/>
          <w:sz w:val="20"/>
          <w:szCs w:val="20"/>
        </w:rPr>
        <w:t xml:space="preserve"> развития </w:t>
      </w:r>
      <w:r w:rsidR="002468AB">
        <w:rPr>
          <w:rFonts w:cstheme="minorHAnsi"/>
          <w:color w:val="000000" w:themeColor="text1"/>
          <w:sz w:val="20"/>
          <w:szCs w:val="20"/>
        </w:rPr>
        <w:t>«</w:t>
      </w:r>
      <w:r w:rsidRPr="003D4D78">
        <w:rPr>
          <w:rFonts w:cstheme="minorHAnsi"/>
          <w:color w:val="000000" w:themeColor="text1"/>
          <w:sz w:val="20"/>
          <w:szCs w:val="20"/>
        </w:rPr>
        <w:t>ВЭБ.РФ</w:t>
      </w:r>
      <w:r w:rsidR="002468AB">
        <w:rPr>
          <w:rFonts w:cstheme="minorHAnsi"/>
          <w:color w:val="000000" w:themeColor="text1"/>
          <w:sz w:val="20"/>
          <w:szCs w:val="20"/>
        </w:rPr>
        <w:t>»</w:t>
      </w:r>
      <w:r w:rsidRPr="003D4D78">
        <w:rPr>
          <w:rFonts w:cstheme="minorHAnsi"/>
          <w:color w:val="000000" w:themeColor="text1"/>
          <w:sz w:val="20"/>
          <w:szCs w:val="20"/>
        </w:rPr>
        <w:t>);</w:t>
      </w:r>
    </w:p>
    <w:p w:rsidR="003D4D78" w:rsidRPr="003D4D78" w:rsidRDefault="003D4D78" w:rsidP="003D4D7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D4D78">
        <w:rPr>
          <w:rFonts w:cstheme="minorHAnsi"/>
          <w:color w:val="000000" w:themeColor="text1"/>
          <w:sz w:val="20"/>
          <w:szCs w:val="20"/>
        </w:rPr>
        <w:t xml:space="preserve">- выполняют для </w:t>
      </w:r>
      <w:r w:rsidR="00D123D1">
        <w:rPr>
          <w:rFonts w:cstheme="minorHAnsi"/>
          <w:color w:val="000000" w:themeColor="text1"/>
          <w:sz w:val="20"/>
          <w:szCs w:val="20"/>
        </w:rPr>
        <w:t>вышеуказанных резидентов</w:t>
      </w:r>
      <w:r w:rsidRPr="003D4D78">
        <w:rPr>
          <w:rFonts w:cstheme="minorHAnsi"/>
          <w:color w:val="000000" w:themeColor="text1"/>
          <w:sz w:val="20"/>
          <w:szCs w:val="20"/>
        </w:rPr>
        <w:t xml:space="preserve"> работы;</w:t>
      </w:r>
    </w:p>
    <w:p w:rsidR="003D4D78" w:rsidRPr="003D4D78" w:rsidRDefault="003D4D78" w:rsidP="003D4D7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D4D78">
        <w:rPr>
          <w:rFonts w:cstheme="minorHAnsi"/>
          <w:color w:val="000000" w:themeColor="text1"/>
          <w:sz w:val="20"/>
          <w:szCs w:val="20"/>
        </w:rPr>
        <w:t>- передают им информацию, результаты интеллектуальной деятельности, в т.ч. исключительные права на них.</w:t>
      </w:r>
    </w:p>
    <w:p w:rsidR="00142651" w:rsidRDefault="003D4D78" w:rsidP="003D4D7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D4D78">
        <w:rPr>
          <w:rFonts w:cstheme="minorHAnsi"/>
          <w:color w:val="000000" w:themeColor="text1"/>
          <w:sz w:val="20"/>
          <w:szCs w:val="20"/>
        </w:rPr>
        <w:t>Ограничение суммы аванса не затрагивало, например, контракты об оказании фин</w:t>
      </w:r>
      <w:r w:rsidR="001034BF">
        <w:rPr>
          <w:rFonts w:cstheme="minorHAnsi"/>
          <w:color w:val="000000" w:themeColor="text1"/>
          <w:sz w:val="20"/>
          <w:szCs w:val="20"/>
        </w:rPr>
        <w:t xml:space="preserve">ансовых </w:t>
      </w:r>
      <w:r w:rsidRPr="003D4D78">
        <w:rPr>
          <w:rFonts w:cstheme="minorHAnsi"/>
          <w:color w:val="000000" w:themeColor="text1"/>
          <w:sz w:val="20"/>
          <w:szCs w:val="20"/>
        </w:rPr>
        <w:t>услуг.</w:t>
      </w:r>
    </w:p>
    <w:p w:rsidR="00FE367F" w:rsidRPr="00562E1C" w:rsidRDefault="003D4D78" w:rsidP="003D4D78">
      <w:pPr>
        <w:spacing w:after="0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3D4D78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Решение Совета директоров Банка России от 19.07.2022</w:t>
      </w:r>
      <w:r w:rsidR="00562E1C" w:rsidRPr="00562E1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562E1C" w:rsidRDefault="00562E1C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C11BFA" w:rsidRPr="00466AC4" w:rsidRDefault="00466AC4" w:rsidP="00A13737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466AC4">
        <w:rPr>
          <w:rFonts w:cstheme="minorHAnsi"/>
          <w:i/>
          <w:iCs/>
          <w:color w:val="000000" w:themeColor="text1"/>
          <w:sz w:val="28"/>
          <w:szCs w:val="28"/>
        </w:rPr>
        <w:t>Аналитика</w:t>
      </w:r>
    </w:p>
    <w:p w:rsidR="00466AC4" w:rsidRDefault="0060481E" w:rsidP="00A1373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0481E">
        <w:rPr>
          <w:rFonts w:cs="Arial"/>
          <w:b/>
          <w:bCs/>
          <w:iCs/>
          <w:sz w:val="20"/>
          <w:szCs w:val="20"/>
        </w:rPr>
        <w:t>Банкротство: обзор ключевых позиций ВС РФ за II квартал</w:t>
      </w:r>
    </w:p>
    <w:p w:rsidR="0060481E" w:rsidRDefault="0060481E" w:rsidP="00A13737">
      <w:pPr>
        <w:spacing w:after="0"/>
        <w:jc w:val="both"/>
        <w:rPr>
          <w:rFonts w:cs="Arial"/>
          <w:iCs/>
          <w:sz w:val="20"/>
          <w:szCs w:val="20"/>
        </w:rPr>
      </w:pPr>
      <w:r w:rsidRPr="0060481E">
        <w:rPr>
          <w:rFonts w:cs="Arial"/>
          <w:iCs/>
          <w:sz w:val="20"/>
          <w:szCs w:val="20"/>
        </w:rPr>
        <w:t xml:space="preserve">Почему задолженность по дивидендам не может стать основанием для банкротства? Должен ли бывший директор </w:t>
      </w:r>
      <w:r w:rsidR="00D123D1" w:rsidRPr="0060481E">
        <w:rPr>
          <w:rFonts w:cs="Arial"/>
          <w:iCs/>
          <w:sz w:val="20"/>
          <w:szCs w:val="20"/>
        </w:rPr>
        <w:t>отвечать</w:t>
      </w:r>
      <w:r w:rsidR="00D123D1" w:rsidRPr="0060481E">
        <w:rPr>
          <w:rFonts w:cs="Arial"/>
          <w:iCs/>
          <w:sz w:val="20"/>
          <w:szCs w:val="20"/>
        </w:rPr>
        <w:t xml:space="preserve"> </w:t>
      </w:r>
      <w:r w:rsidRPr="0060481E">
        <w:rPr>
          <w:rFonts w:cs="Arial"/>
          <w:iCs/>
          <w:sz w:val="20"/>
          <w:szCs w:val="20"/>
        </w:rPr>
        <w:t>за действия подчиненных? Вправе ли УФАС рассматривать жалобы на банкротные торги? Влияет ли банкротство на течение срока исковой давности?</w:t>
      </w:r>
      <w:r w:rsidR="001034BF">
        <w:rPr>
          <w:rFonts w:cs="Arial"/>
          <w:iCs/>
          <w:sz w:val="20"/>
          <w:szCs w:val="20"/>
        </w:rPr>
        <w:t xml:space="preserve"> </w:t>
      </w:r>
      <w:r w:rsidR="00D123D1">
        <w:rPr>
          <w:rFonts w:cs="Arial"/>
          <w:iCs/>
          <w:sz w:val="20"/>
          <w:szCs w:val="20"/>
        </w:rPr>
        <w:t>Ответы на эти вопросы и все п</w:t>
      </w:r>
      <w:r w:rsidR="001034BF">
        <w:rPr>
          <w:rFonts w:cs="Arial"/>
          <w:iCs/>
          <w:sz w:val="20"/>
          <w:szCs w:val="20"/>
        </w:rPr>
        <w:t>одробности – в обзоре.</w:t>
      </w:r>
    </w:p>
    <w:p w:rsidR="00466AC4" w:rsidRPr="00466AC4" w:rsidRDefault="0060481E" w:rsidP="0060481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0481E">
        <w:rPr>
          <w:rFonts w:cs="Arial"/>
          <w:i/>
          <w:sz w:val="20"/>
          <w:szCs w:val="20"/>
          <w:u w:val="single"/>
        </w:rPr>
        <w:t xml:space="preserve">Обзор: </w:t>
      </w:r>
      <w:r w:rsidR="002468AB">
        <w:rPr>
          <w:rFonts w:cs="Arial"/>
          <w:i/>
          <w:sz w:val="20"/>
          <w:szCs w:val="20"/>
          <w:u w:val="single"/>
        </w:rPr>
        <w:t>«</w:t>
      </w:r>
      <w:r w:rsidRPr="0060481E">
        <w:rPr>
          <w:rFonts w:cs="Arial"/>
          <w:i/>
          <w:sz w:val="20"/>
          <w:szCs w:val="20"/>
          <w:u w:val="single"/>
        </w:rPr>
        <w:t>Банкротство: обзор ключевых позиций ВС РФ за II квартал</w:t>
      </w:r>
      <w:r w:rsidR="002468AB">
        <w:rPr>
          <w:rFonts w:cs="Arial"/>
          <w:i/>
          <w:sz w:val="20"/>
          <w:szCs w:val="20"/>
          <w:u w:val="single"/>
        </w:rPr>
        <w:t>»</w:t>
      </w:r>
      <w:r w:rsidR="00D123D1">
        <w:rPr>
          <w:rFonts w:cs="Arial"/>
          <w:i/>
          <w:sz w:val="20"/>
          <w:szCs w:val="20"/>
          <w:u w:val="single"/>
        </w:rPr>
        <w:t xml:space="preserve"> </w:t>
      </w:r>
      <w:bookmarkStart w:id="2" w:name="_GoBack"/>
      <w:bookmarkEnd w:id="2"/>
      <w:r w:rsidRPr="0060481E">
        <w:rPr>
          <w:rFonts w:cs="Arial"/>
          <w:i/>
          <w:sz w:val="20"/>
          <w:szCs w:val="20"/>
          <w:u w:val="single"/>
        </w:rPr>
        <w:t>(КонсультантПлюс, 2022</w:t>
      </w:r>
      <w:r w:rsidRPr="0060481E">
        <w:rPr>
          <w:rFonts w:cs="Arial"/>
          <w:i/>
          <w:sz w:val="20"/>
          <w:szCs w:val="20"/>
        </w:rPr>
        <w:t>)</w:t>
      </w:r>
      <w:r w:rsidR="00466AC4" w:rsidRPr="0060481E">
        <w:rPr>
          <w:rFonts w:cs="Arial"/>
          <w:i/>
          <w:sz w:val="20"/>
          <w:szCs w:val="20"/>
        </w:rPr>
        <w:t xml:space="preserve"> </w:t>
      </w:r>
      <w:r w:rsidR="00466AC4" w:rsidRPr="00466AC4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466AC4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66AC4" w:rsidRPr="0081446C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466AC4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466AC4" w:rsidRPr="0081446C">
        <w:rPr>
          <w:rFonts w:cstheme="minorHAnsi"/>
          <w:i/>
          <w:iCs/>
          <w:sz w:val="20"/>
          <w:szCs w:val="20"/>
        </w:rPr>
        <w:t>)</w:t>
      </w:r>
    </w:p>
    <w:p w:rsidR="00466AC4" w:rsidRDefault="00466AC4" w:rsidP="00A13737">
      <w:pPr>
        <w:jc w:val="both"/>
        <w:rPr>
          <w:rFonts w:cs="Arial"/>
          <w:i/>
          <w:sz w:val="20"/>
          <w:szCs w:val="20"/>
        </w:rPr>
      </w:pPr>
      <w:r w:rsidRPr="00562E1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466AC4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F6" w:rsidRDefault="003A7FF6" w:rsidP="00165173">
      <w:pPr>
        <w:spacing w:after="0" w:line="240" w:lineRule="auto"/>
      </w:pPr>
      <w:r>
        <w:separator/>
      </w:r>
    </w:p>
  </w:endnote>
  <w:endnote w:type="continuationSeparator" w:id="0">
    <w:p w:rsidR="003A7FF6" w:rsidRDefault="003A7FF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F6" w:rsidRDefault="003A7FF6" w:rsidP="00165173">
      <w:pPr>
        <w:spacing w:after="0" w:line="240" w:lineRule="auto"/>
      </w:pPr>
      <w:r>
        <w:separator/>
      </w:r>
    </w:p>
  </w:footnote>
  <w:footnote w:type="continuationSeparator" w:id="0">
    <w:p w:rsidR="003A7FF6" w:rsidRDefault="003A7FF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C79B0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1F3563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65911"/>
    <w:rsid w:val="00274C6B"/>
    <w:rsid w:val="00274FBB"/>
    <w:rsid w:val="0028278B"/>
    <w:rsid w:val="00284BF5"/>
    <w:rsid w:val="00284F26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3DBC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23ABE"/>
    <w:rsid w:val="00331247"/>
    <w:rsid w:val="003318E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5D7B"/>
    <w:rsid w:val="00357639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836"/>
    <w:rsid w:val="003C53D1"/>
    <w:rsid w:val="003C5523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49AB"/>
    <w:rsid w:val="003E7F08"/>
    <w:rsid w:val="003F06CF"/>
    <w:rsid w:val="003F110C"/>
    <w:rsid w:val="003F2F27"/>
    <w:rsid w:val="003F66ED"/>
    <w:rsid w:val="003F6F68"/>
    <w:rsid w:val="003F7629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30530"/>
    <w:rsid w:val="0043061D"/>
    <w:rsid w:val="004307FF"/>
    <w:rsid w:val="00431987"/>
    <w:rsid w:val="004319D5"/>
    <w:rsid w:val="00434023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878"/>
    <w:rsid w:val="00457901"/>
    <w:rsid w:val="0046214A"/>
    <w:rsid w:val="00462975"/>
    <w:rsid w:val="00464EA0"/>
    <w:rsid w:val="00466AC4"/>
    <w:rsid w:val="00466DB6"/>
    <w:rsid w:val="00467C78"/>
    <w:rsid w:val="004761BD"/>
    <w:rsid w:val="0047664D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3EF3"/>
    <w:rsid w:val="005A431E"/>
    <w:rsid w:val="005A4D8E"/>
    <w:rsid w:val="005B11D4"/>
    <w:rsid w:val="005B309F"/>
    <w:rsid w:val="005B6A77"/>
    <w:rsid w:val="005B7A3F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52E4"/>
    <w:rsid w:val="0082674F"/>
    <w:rsid w:val="008313E5"/>
    <w:rsid w:val="008330F9"/>
    <w:rsid w:val="00833215"/>
    <w:rsid w:val="00833C83"/>
    <w:rsid w:val="008461D3"/>
    <w:rsid w:val="00846BED"/>
    <w:rsid w:val="00847282"/>
    <w:rsid w:val="0085084F"/>
    <w:rsid w:val="00850C8A"/>
    <w:rsid w:val="008523D6"/>
    <w:rsid w:val="0085271F"/>
    <w:rsid w:val="00853DA6"/>
    <w:rsid w:val="00854D5C"/>
    <w:rsid w:val="00854E36"/>
    <w:rsid w:val="00855531"/>
    <w:rsid w:val="008566FB"/>
    <w:rsid w:val="008603D2"/>
    <w:rsid w:val="00860EC9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32B7"/>
    <w:rsid w:val="009249F7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60995"/>
    <w:rsid w:val="00960F1A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18D7"/>
    <w:rsid w:val="009C3056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3737"/>
    <w:rsid w:val="00A14808"/>
    <w:rsid w:val="00A14EA1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670BB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5BDB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E0DE9"/>
    <w:rsid w:val="00AE235D"/>
    <w:rsid w:val="00AE4F04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389D"/>
    <w:rsid w:val="00B847D9"/>
    <w:rsid w:val="00B854F9"/>
    <w:rsid w:val="00B867AD"/>
    <w:rsid w:val="00B86874"/>
    <w:rsid w:val="00B87F7B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1BFA"/>
    <w:rsid w:val="00C12799"/>
    <w:rsid w:val="00C13589"/>
    <w:rsid w:val="00C163DA"/>
    <w:rsid w:val="00C16607"/>
    <w:rsid w:val="00C16FC0"/>
    <w:rsid w:val="00C21C1E"/>
    <w:rsid w:val="00C22FA7"/>
    <w:rsid w:val="00C25FDD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67B"/>
    <w:rsid w:val="00CF1BA7"/>
    <w:rsid w:val="00CF4021"/>
    <w:rsid w:val="00CF623F"/>
    <w:rsid w:val="00CF6332"/>
    <w:rsid w:val="00D00366"/>
    <w:rsid w:val="00D009BB"/>
    <w:rsid w:val="00D016E1"/>
    <w:rsid w:val="00D02D05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6AE3"/>
    <w:rsid w:val="00D30FD0"/>
    <w:rsid w:val="00D312F9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0C1B"/>
    <w:rsid w:val="00ED4D9D"/>
    <w:rsid w:val="00EE0279"/>
    <w:rsid w:val="00EE0D16"/>
    <w:rsid w:val="00EE68A8"/>
    <w:rsid w:val="00EE6C3A"/>
    <w:rsid w:val="00EE7529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04B2"/>
    <w:rsid w:val="00F321DF"/>
    <w:rsid w:val="00F3223E"/>
    <w:rsid w:val="00F40545"/>
    <w:rsid w:val="00F50537"/>
    <w:rsid w:val="00F515DC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5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EC4E0B132A6BD448ED2D1F135041C6D1EB7246C50E11325A01C18E0B91BF40ABC797BC493F997BBFB1489166C591BCCF2D5182A82CDD2G9u7L" TargetMode="External"/><Relationship Id="rId13" Type="http://schemas.openxmlformats.org/officeDocument/2006/relationships/hyperlink" Target="https://login.consultant.ru/link/?req=doc&amp;base=LAW&amp;n=422549&amp;dst=100003&amp;date=31.07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F3CB5A89FBC97363A7014C089493615CAE1965EBA7823AF277119DCE97D30393E08C099713C009CA2393D275D956329907378269055733S3z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580&amp;dst=100003&amp;date=31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956&amp;dst=100002&amp;date=31.07.2022" TargetMode="External"/><Relationship Id="rId10" Type="http://schemas.openxmlformats.org/officeDocument/2006/relationships/hyperlink" Target="consultantplus://offline/ref=9D539414FECF6ACDE97AF4B500BE1C5F6D2B3D2227693BE587A2CD2312A4BF0EA2D4B452111ACD0B2890E9CB653B99F3E46ED98A6F79A3FB5844r6w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881&amp;dst=100003%2C-1&amp;date=31.07.2022" TargetMode="External"/><Relationship Id="rId14" Type="http://schemas.openxmlformats.org/officeDocument/2006/relationships/hyperlink" Target="consultantplus://offline/ref=333968C3DCD52949BC2C49004F0802201ABD887E868D6E626195E30E5384EB3FF28D40DFEA94A52EBBFDDFFFFAE61E121CE2F3A2CA693E6EPC18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9677-869E-4A5B-B407-3089ECAB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2022-07-25T13:15:00Z</dcterms:created>
  <dcterms:modified xsi:type="dcterms:W3CDTF">2022-08-01T15:11:00Z</dcterms:modified>
</cp:coreProperties>
</file>