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A60AB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A60AB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CA5B19" w:rsidRDefault="00A60AB0" w:rsidP="00CA5B1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60AB0">
        <w:rPr>
          <w:rFonts w:cs="Arial"/>
          <w:b/>
          <w:bCs/>
          <w:iCs/>
          <w:sz w:val="20"/>
          <w:szCs w:val="20"/>
        </w:rPr>
        <w:t>Федеральные органы и учреждения должны пояснить исправление в учете ошибок за 2021 год</w:t>
      </w:r>
    </w:p>
    <w:p w:rsidR="00A60AB0" w:rsidRPr="00A60AB0" w:rsidRDefault="00A60AB0" w:rsidP="00A60AB0">
      <w:pPr>
        <w:spacing w:after="0"/>
        <w:jc w:val="both"/>
        <w:rPr>
          <w:rFonts w:cs="Arial"/>
          <w:iCs/>
          <w:sz w:val="20"/>
          <w:szCs w:val="20"/>
        </w:rPr>
      </w:pPr>
      <w:r w:rsidRPr="00A60AB0">
        <w:rPr>
          <w:rFonts w:cs="Arial"/>
          <w:iCs/>
          <w:sz w:val="20"/>
          <w:szCs w:val="20"/>
        </w:rPr>
        <w:t xml:space="preserve">Минфин и Казначейство запросили у федеральных ГАБС дополнительные пояснения к сведениям об изменении остатков валюты баланса (ф. 0503173) за прошлый год. Описать подробнее надо причины корректировки данных по кодам 03 </w:t>
      </w:r>
      <w:r w:rsidR="002C3688">
        <w:rPr>
          <w:rFonts w:cs="Arial"/>
          <w:iCs/>
          <w:sz w:val="20"/>
          <w:szCs w:val="20"/>
        </w:rPr>
        <w:t>«</w:t>
      </w:r>
      <w:r w:rsidR="004373DF">
        <w:rPr>
          <w:rFonts w:cs="Arial"/>
          <w:iCs/>
          <w:sz w:val="20"/>
          <w:szCs w:val="20"/>
        </w:rPr>
        <w:t>И</w:t>
      </w:r>
      <w:r w:rsidRPr="00A60AB0">
        <w:rPr>
          <w:rFonts w:cs="Arial"/>
          <w:iCs/>
          <w:sz w:val="20"/>
          <w:szCs w:val="20"/>
        </w:rPr>
        <w:t>справление ошибок прошлых лет</w:t>
      </w:r>
      <w:r w:rsidR="002C3688">
        <w:rPr>
          <w:rFonts w:cs="Arial"/>
          <w:iCs/>
          <w:sz w:val="20"/>
          <w:szCs w:val="20"/>
        </w:rPr>
        <w:t>»</w:t>
      </w:r>
      <w:r w:rsidRPr="00A60AB0">
        <w:rPr>
          <w:rFonts w:cs="Arial"/>
          <w:iCs/>
          <w:sz w:val="20"/>
          <w:szCs w:val="20"/>
        </w:rPr>
        <w:t xml:space="preserve"> и 06 </w:t>
      </w:r>
      <w:r w:rsidR="002C3688">
        <w:rPr>
          <w:rFonts w:cs="Arial"/>
          <w:iCs/>
          <w:sz w:val="20"/>
          <w:szCs w:val="20"/>
        </w:rPr>
        <w:t>«</w:t>
      </w:r>
      <w:r w:rsidR="004373DF">
        <w:rPr>
          <w:rFonts w:cs="Arial"/>
          <w:iCs/>
          <w:sz w:val="20"/>
          <w:szCs w:val="20"/>
        </w:rPr>
        <w:t>И</w:t>
      </w:r>
      <w:r w:rsidRPr="00A60AB0">
        <w:rPr>
          <w:rFonts w:cs="Arial"/>
          <w:iCs/>
          <w:sz w:val="20"/>
          <w:szCs w:val="20"/>
        </w:rPr>
        <w:t>ные причины</w:t>
      </w:r>
      <w:r w:rsidR="002C3688">
        <w:rPr>
          <w:rFonts w:cs="Arial"/>
          <w:iCs/>
          <w:sz w:val="20"/>
          <w:szCs w:val="20"/>
        </w:rPr>
        <w:t>»</w:t>
      </w:r>
      <w:r w:rsidRPr="00A60AB0">
        <w:rPr>
          <w:rFonts w:cs="Arial"/>
          <w:iCs/>
          <w:sz w:val="20"/>
          <w:szCs w:val="20"/>
        </w:rPr>
        <w:t>.</w:t>
      </w:r>
    </w:p>
    <w:p w:rsidR="00A60AB0" w:rsidRPr="00A60AB0" w:rsidRDefault="00A60AB0" w:rsidP="00A60AB0">
      <w:pPr>
        <w:spacing w:after="0"/>
        <w:jc w:val="both"/>
        <w:rPr>
          <w:rFonts w:cs="Arial"/>
          <w:iCs/>
          <w:sz w:val="20"/>
          <w:szCs w:val="20"/>
        </w:rPr>
      </w:pPr>
      <w:r w:rsidRPr="00A60AB0">
        <w:rPr>
          <w:rFonts w:cs="Arial"/>
          <w:iCs/>
          <w:sz w:val="20"/>
          <w:szCs w:val="20"/>
        </w:rPr>
        <w:t xml:space="preserve">Форму и образец расшифровки ведомства приложили к письму. ГАБС должны направить информацию Казначейству не позднее 15 мая. Полагаем, </w:t>
      </w:r>
      <w:r w:rsidR="004373DF">
        <w:rPr>
          <w:rFonts w:cs="Arial"/>
          <w:iCs/>
          <w:sz w:val="20"/>
          <w:szCs w:val="20"/>
        </w:rPr>
        <w:t xml:space="preserve">что </w:t>
      </w:r>
      <w:r w:rsidRPr="00A60AB0">
        <w:rPr>
          <w:rFonts w:cs="Arial"/>
          <w:iCs/>
          <w:sz w:val="20"/>
          <w:szCs w:val="20"/>
        </w:rPr>
        <w:t>госорганы потребуют нужные сведения у подведомственных казенных учреждений.</w:t>
      </w:r>
    </w:p>
    <w:p w:rsidR="00A60AB0" w:rsidRPr="00A60AB0" w:rsidRDefault="00A60AB0" w:rsidP="00A60AB0">
      <w:pPr>
        <w:spacing w:after="0"/>
        <w:jc w:val="both"/>
        <w:rPr>
          <w:rFonts w:cs="Arial"/>
          <w:iCs/>
          <w:sz w:val="20"/>
          <w:szCs w:val="20"/>
        </w:rPr>
      </w:pPr>
      <w:r w:rsidRPr="00A60AB0">
        <w:rPr>
          <w:rFonts w:cs="Arial"/>
          <w:iCs/>
          <w:sz w:val="20"/>
          <w:szCs w:val="20"/>
        </w:rPr>
        <w:t>Также ведомства указали схему исправления ошибок, которые выявила Счетная палата. Например, по существенным искажениям ГАБС сначала подают запрос на корректировку с описанием причины нарушения. После согласования поправок они уточняют отчетность в течение 2 рабочих дней. По несущественным ошибкам подают пояснения до 15 мая по форме, которую ведомства приложили к письму. Это касается и корректировок в бухучете федеральных бюджетных и автономных учреждений.</w:t>
      </w:r>
    </w:p>
    <w:p w:rsidR="009F160F" w:rsidRDefault="00A60AB0" w:rsidP="00A60AB0">
      <w:pPr>
        <w:spacing w:after="0"/>
        <w:jc w:val="both"/>
        <w:rPr>
          <w:rFonts w:cs="Arial"/>
          <w:iCs/>
          <w:sz w:val="20"/>
          <w:szCs w:val="20"/>
        </w:rPr>
      </w:pPr>
      <w:r w:rsidRPr="00A60AB0">
        <w:rPr>
          <w:rFonts w:cs="Arial"/>
          <w:iCs/>
          <w:sz w:val="20"/>
          <w:szCs w:val="20"/>
        </w:rPr>
        <w:t>При централизации учета пояснения готовят совместно с уполномоченной организацией.</w:t>
      </w:r>
    </w:p>
    <w:p w:rsidR="00CA5B19" w:rsidRPr="00567648" w:rsidRDefault="00A60AB0" w:rsidP="009F160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A60AB0">
        <w:rPr>
          <w:rFonts w:cs="Arial"/>
          <w:i/>
          <w:sz w:val="20"/>
          <w:szCs w:val="20"/>
          <w:u w:val="single"/>
        </w:rPr>
        <w:t>Письмо Минфина России N 02-06-07/37312, Казначейства России N 07-04-05/02-10035 от 25.04.2022</w:t>
      </w:r>
      <w:r w:rsidR="009F160F" w:rsidRPr="00D06AF5">
        <w:rPr>
          <w:rFonts w:cs="Arial"/>
          <w:i/>
          <w:sz w:val="20"/>
          <w:szCs w:val="20"/>
        </w:rPr>
        <w:t xml:space="preserve"> </w:t>
      </w:r>
      <w:r w:rsidR="00CA5B19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CA5B19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5B19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CA5B19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5B19" w:rsidRPr="00567648">
        <w:rPr>
          <w:i/>
          <w:iCs/>
          <w:sz w:val="20"/>
          <w:szCs w:val="20"/>
        </w:rPr>
        <w:t>)</w:t>
      </w:r>
    </w:p>
    <w:p w:rsidR="00BB4EEE" w:rsidRDefault="00CA5B19" w:rsidP="00BB4EE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15C4C" w:rsidRDefault="00D15C4C" w:rsidP="00D15C4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0044F">
        <w:rPr>
          <w:rFonts w:cs="Arial"/>
          <w:b/>
          <w:bCs/>
          <w:iCs/>
          <w:sz w:val="20"/>
          <w:szCs w:val="20"/>
        </w:rPr>
        <w:t>С 1 мая нужно использовать обновленные коды назначения платежа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ЦБ РФ утвердил новые коды для поля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Назначение платежа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при переводе денег: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1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6471E8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зарплата или иные доходы, размер удержания</w:t>
      </w:r>
      <w:r w:rsidR="004373DF" w:rsidRPr="004373DF">
        <w:rPr>
          <w:rFonts w:cs="Arial"/>
          <w:iCs/>
          <w:sz w:val="20"/>
          <w:szCs w:val="20"/>
        </w:rPr>
        <w:t xml:space="preserve"> </w:t>
      </w:r>
      <w:r w:rsidR="004373DF" w:rsidRPr="0050044F">
        <w:rPr>
          <w:rFonts w:cs="Arial"/>
          <w:iCs/>
          <w:sz w:val="20"/>
          <w:szCs w:val="20"/>
        </w:rPr>
        <w:t>по которым ограничен</w:t>
      </w:r>
      <w:r w:rsidRPr="0050044F">
        <w:rPr>
          <w:rFonts w:cs="Arial"/>
          <w:iCs/>
          <w:sz w:val="20"/>
          <w:szCs w:val="20"/>
        </w:rPr>
        <w:t>;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2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6471E8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на которые нельзя обратить взыскание и которые имеют характер периодических выплат. Исключение </w:t>
      </w:r>
      <w:r w:rsidR="004373DF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взысканию;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3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6471E8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 и которые считаются периодическими выплатами;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4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6471E8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на которые нельзя обратить взыскание и которые имеют единовременный характер. Исключение </w:t>
      </w:r>
      <w:r w:rsidR="004373DF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взысканию;</w:t>
      </w:r>
    </w:p>
    <w:p w:rsidR="00D15C4C" w:rsidRPr="0050044F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 xml:space="preserve">- </w:t>
      </w:r>
      <w:r w:rsidR="002C3688">
        <w:rPr>
          <w:rFonts w:cs="Arial"/>
          <w:iCs/>
          <w:sz w:val="20"/>
          <w:szCs w:val="20"/>
        </w:rPr>
        <w:t>«</w:t>
      </w:r>
      <w:r w:rsidRPr="0050044F">
        <w:rPr>
          <w:rFonts w:cs="Arial"/>
          <w:iCs/>
          <w:sz w:val="20"/>
          <w:szCs w:val="20"/>
        </w:rPr>
        <w:t>5</w:t>
      </w:r>
      <w:r w:rsidR="002C3688">
        <w:rPr>
          <w:rFonts w:cs="Arial"/>
          <w:iCs/>
          <w:sz w:val="20"/>
          <w:szCs w:val="20"/>
        </w:rPr>
        <w:t>»</w:t>
      </w:r>
      <w:r w:rsidRPr="0050044F">
        <w:rPr>
          <w:rFonts w:cs="Arial"/>
          <w:iCs/>
          <w:sz w:val="20"/>
          <w:szCs w:val="20"/>
        </w:rPr>
        <w:t xml:space="preserve"> </w:t>
      </w:r>
      <w:r w:rsidR="006471E8">
        <w:rPr>
          <w:rFonts w:cs="Arial"/>
          <w:iCs/>
          <w:sz w:val="20"/>
          <w:szCs w:val="20"/>
        </w:rPr>
        <w:t>–</w:t>
      </w:r>
      <w:r w:rsidRPr="0050044F">
        <w:rPr>
          <w:rFonts w:cs="Arial"/>
          <w:iCs/>
          <w:sz w:val="20"/>
          <w:szCs w:val="20"/>
        </w:rPr>
        <w:t xml:space="preserve"> доходы, к которым не применяют ограничения по взысканию и которые считают единовременными.</w:t>
      </w:r>
    </w:p>
    <w:p w:rsidR="00D15C4C" w:rsidRPr="00567648" w:rsidRDefault="00D15C4C" w:rsidP="00D15C4C">
      <w:pPr>
        <w:spacing w:after="0"/>
        <w:jc w:val="both"/>
        <w:rPr>
          <w:rFonts w:cs="Arial"/>
          <w:iCs/>
          <w:sz w:val="20"/>
          <w:szCs w:val="20"/>
        </w:rPr>
      </w:pPr>
      <w:r w:rsidRPr="0050044F">
        <w:rPr>
          <w:rFonts w:cs="Arial"/>
          <w:iCs/>
          <w:sz w:val="20"/>
          <w:szCs w:val="20"/>
        </w:rPr>
        <w:t>Характер выплат определяет тот, кто выплачивает доход</w:t>
      </w:r>
      <w:r w:rsidR="004373DF" w:rsidRPr="004373DF">
        <w:rPr>
          <w:rFonts w:cs="Arial"/>
          <w:iCs/>
          <w:sz w:val="20"/>
          <w:szCs w:val="20"/>
        </w:rPr>
        <w:t xml:space="preserve"> </w:t>
      </w:r>
      <w:r w:rsidR="004373DF" w:rsidRPr="0050044F">
        <w:rPr>
          <w:rFonts w:cs="Arial"/>
          <w:iCs/>
          <w:sz w:val="20"/>
          <w:szCs w:val="20"/>
        </w:rPr>
        <w:t>физлицу</w:t>
      </w:r>
      <w:r w:rsidRPr="0050044F">
        <w:rPr>
          <w:rFonts w:cs="Arial"/>
          <w:iCs/>
          <w:sz w:val="20"/>
          <w:szCs w:val="20"/>
        </w:rPr>
        <w:t>.</w:t>
      </w:r>
    </w:p>
    <w:p w:rsidR="00D15C4C" w:rsidRPr="00567648" w:rsidRDefault="00D15C4C" w:rsidP="00D15C4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50044F">
        <w:rPr>
          <w:rFonts w:cs="Arial"/>
          <w:i/>
          <w:sz w:val="20"/>
          <w:szCs w:val="20"/>
          <w:u w:val="single"/>
        </w:rPr>
        <w:t>Указание Банка России от 25.03.2022 N 6104-У</w:t>
      </w:r>
      <w:r w:rsidRPr="00BD0114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4373DF" w:rsidRDefault="00D15C4C" w:rsidP="00D15C4C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050D55" w:rsidRPr="00050D55" w:rsidRDefault="00050D55" w:rsidP="00D06AF5">
      <w:pPr>
        <w:spacing w:after="0"/>
        <w:jc w:val="both"/>
        <w:rPr>
          <w:rFonts w:cs="Arial"/>
          <w:i/>
          <w:sz w:val="28"/>
          <w:szCs w:val="28"/>
        </w:rPr>
      </w:pPr>
      <w:r w:rsidRPr="00050D55">
        <w:rPr>
          <w:rFonts w:cs="Arial"/>
          <w:i/>
          <w:sz w:val="28"/>
          <w:szCs w:val="28"/>
        </w:rPr>
        <w:t>Судебная практика</w:t>
      </w:r>
    </w:p>
    <w:p w:rsidR="00050D55" w:rsidRPr="004373DF" w:rsidRDefault="00050D55" w:rsidP="00D06AF5">
      <w:pPr>
        <w:spacing w:after="0"/>
        <w:jc w:val="both"/>
        <w:rPr>
          <w:rFonts w:cs="Arial"/>
          <w:bCs/>
          <w:iCs/>
          <w:sz w:val="20"/>
          <w:szCs w:val="20"/>
        </w:rPr>
      </w:pPr>
    </w:p>
    <w:p w:rsidR="00D06AF5" w:rsidRDefault="00050D55" w:rsidP="00D06AF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50D55">
        <w:rPr>
          <w:rFonts w:cs="Arial"/>
          <w:b/>
          <w:bCs/>
          <w:iCs/>
          <w:sz w:val="20"/>
          <w:szCs w:val="20"/>
        </w:rPr>
        <w:t>Суд признал целевыми расходами выплаты, которые не удержали из зарплаты при отзыве из отпуска</w:t>
      </w:r>
    </w:p>
    <w:p w:rsidR="00050D55" w:rsidRPr="00050D55" w:rsidRDefault="00050D55" w:rsidP="00050D55">
      <w:pPr>
        <w:spacing w:after="0"/>
        <w:jc w:val="both"/>
        <w:rPr>
          <w:rFonts w:cs="Arial"/>
          <w:iCs/>
          <w:sz w:val="20"/>
          <w:szCs w:val="20"/>
        </w:rPr>
      </w:pPr>
      <w:r w:rsidRPr="00050D55">
        <w:rPr>
          <w:rFonts w:cs="Arial"/>
          <w:iCs/>
          <w:sz w:val="20"/>
          <w:szCs w:val="20"/>
        </w:rPr>
        <w:t xml:space="preserve">После отзыва из отпуска медучреждение выплачивало сотруднику зарплату за счет ОМС в полном объеме. ТФОМС </w:t>
      </w:r>
      <w:r w:rsidR="00F0731E">
        <w:rPr>
          <w:rFonts w:cs="Arial"/>
          <w:iCs/>
          <w:sz w:val="20"/>
          <w:szCs w:val="20"/>
        </w:rPr>
        <w:t>признал</w:t>
      </w:r>
      <w:r w:rsidRPr="00050D55">
        <w:rPr>
          <w:rFonts w:cs="Arial"/>
          <w:iCs/>
          <w:sz w:val="20"/>
          <w:szCs w:val="20"/>
        </w:rPr>
        <w:t xml:space="preserve"> часть расходов нецелевыми: из оплаты труда следовало удержать суммы за неиспользованные дни отдыха.</w:t>
      </w:r>
    </w:p>
    <w:p w:rsidR="00D06AF5" w:rsidRDefault="00050D55" w:rsidP="00050D55">
      <w:pPr>
        <w:spacing w:after="0"/>
        <w:jc w:val="both"/>
        <w:rPr>
          <w:rFonts w:cs="Arial"/>
          <w:iCs/>
          <w:sz w:val="20"/>
          <w:szCs w:val="20"/>
        </w:rPr>
      </w:pPr>
      <w:r w:rsidRPr="00050D55">
        <w:rPr>
          <w:rFonts w:cs="Arial"/>
          <w:iCs/>
          <w:sz w:val="20"/>
          <w:szCs w:val="20"/>
        </w:rPr>
        <w:t xml:space="preserve">Суд с контролерами не согласился. </w:t>
      </w:r>
      <w:r w:rsidR="00F0731E">
        <w:rPr>
          <w:rFonts w:cs="Arial"/>
          <w:iCs/>
          <w:sz w:val="20"/>
          <w:szCs w:val="20"/>
        </w:rPr>
        <w:t>Согласно</w:t>
      </w:r>
      <w:r w:rsidRPr="00050D55">
        <w:rPr>
          <w:rFonts w:cs="Arial"/>
          <w:iCs/>
          <w:sz w:val="20"/>
          <w:szCs w:val="20"/>
        </w:rPr>
        <w:t xml:space="preserve"> ТК РФ</w:t>
      </w:r>
      <w:r w:rsidR="00F0731E">
        <w:rPr>
          <w:rFonts w:cs="Arial"/>
          <w:iCs/>
          <w:sz w:val="20"/>
          <w:szCs w:val="20"/>
        </w:rPr>
        <w:t>,</w:t>
      </w:r>
      <w:r w:rsidRPr="00050D55">
        <w:rPr>
          <w:rFonts w:cs="Arial"/>
          <w:iCs/>
          <w:sz w:val="20"/>
          <w:szCs w:val="20"/>
        </w:rPr>
        <w:t xml:space="preserve"> при отзыве из отпуска неиспользованные дни предоставляют в другое время. Удерживать по решению работодателя лишние выплаты из зарплаты закон в такой ситуации не разрешает</w:t>
      </w:r>
      <w:r w:rsidR="00D06AF5" w:rsidRPr="00D06AF5">
        <w:rPr>
          <w:rFonts w:cs="Arial"/>
          <w:iCs/>
          <w:sz w:val="20"/>
          <w:szCs w:val="20"/>
        </w:rPr>
        <w:t>.</w:t>
      </w:r>
    </w:p>
    <w:p w:rsidR="00D06AF5" w:rsidRPr="00D06AF5" w:rsidRDefault="00050D55" w:rsidP="00D06AF5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50D55">
        <w:rPr>
          <w:rFonts w:cs="Arial"/>
          <w:i/>
          <w:sz w:val="20"/>
          <w:szCs w:val="20"/>
          <w:u w:val="single"/>
        </w:rPr>
        <w:t>Постановление 16-го ААС от 24.03.2022 по делу N А20-5366/2020</w:t>
      </w:r>
      <w:r w:rsidR="00C4297F">
        <w:rPr>
          <w:rFonts w:cs="Arial"/>
          <w:i/>
          <w:sz w:val="20"/>
          <w:szCs w:val="20"/>
        </w:rPr>
        <w:t xml:space="preserve"> </w:t>
      </w:r>
      <w:r w:rsidR="00D06AF5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D06AF5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06AF5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D06AF5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06AF5" w:rsidRPr="00567648">
        <w:rPr>
          <w:i/>
          <w:iCs/>
          <w:sz w:val="20"/>
          <w:szCs w:val="20"/>
        </w:rPr>
        <w:t>)</w:t>
      </w:r>
    </w:p>
    <w:p w:rsidR="00D06AF5" w:rsidRDefault="00050D55" w:rsidP="00D06AF5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апелляционные суды</w:t>
      </w:r>
    </w:p>
    <w:p w:rsidR="001F71EA" w:rsidRPr="001F71EA" w:rsidRDefault="001F71EA" w:rsidP="001F71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F71EA">
        <w:rPr>
          <w:rFonts w:ascii="Calibri" w:hAnsi="Calibri" w:cs="Calibri"/>
          <w:b/>
          <w:bCs/>
          <w:sz w:val="20"/>
          <w:szCs w:val="20"/>
        </w:rPr>
        <w:t>Суды не одобрили исправление периода платежа по НДФЛ на более поздний</w:t>
      </w:r>
    </w:p>
    <w:p w:rsidR="00F0731E" w:rsidRDefault="001F71EA" w:rsidP="001F71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F71EA">
        <w:rPr>
          <w:rFonts w:ascii="Calibri" w:hAnsi="Calibri" w:cs="Calibri"/>
          <w:sz w:val="20"/>
          <w:szCs w:val="20"/>
        </w:rPr>
        <w:t xml:space="preserve">ВС РФ отказал в пересмотре дела в ситуации, когда организация хотела заменить </w:t>
      </w:r>
      <w:r w:rsidR="00F0731E">
        <w:rPr>
          <w:rFonts w:ascii="Calibri" w:hAnsi="Calibri" w:cs="Calibri"/>
          <w:sz w:val="20"/>
          <w:szCs w:val="20"/>
        </w:rPr>
        <w:t xml:space="preserve">один </w:t>
      </w:r>
      <w:r w:rsidRPr="001F71EA">
        <w:rPr>
          <w:rFonts w:ascii="Calibri" w:hAnsi="Calibri" w:cs="Calibri"/>
          <w:sz w:val="20"/>
          <w:szCs w:val="20"/>
        </w:rPr>
        <w:t>налоговый период</w:t>
      </w:r>
      <w:r w:rsidR="00F0731E">
        <w:rPr>
          <w:rFonts w:ascii="Calibri" w:hAnsi="Calibri" w:cs="Calibri"/>
          <w:sz w:val="20"/>
          <w:szCs w:val="20"/>
        </w:rPr>
        <w:t xml:space="preserve"> на другой</w:t>
      </w:r>
      <w:r w:rsidRPr="001F71EA">
        <w:rPr>
          <w:rFonts w:ascii="Calibri" w:hAnsi="Calibri" w:cs="Calibri"/>
          <w:sz w:val="20"/>
          <w:szCs w:val="20"/>
        </w:rPr>
        <w:t>. Суды пояснили: в год уплаты НДФЛ обязанност</w:t>
      </w:r>
      <w:r w:rsidR="00F0731E">
        <w:rPr>
          <w:rFonts w:ascii="Calibri" w:hAnsi="Calibri" w:cs="Calibri"/>
          <w:sz w:val="20"/>
          <w:szCs w:val="20"/>
        </w:rPr>
        <w:t>ь</w:t>
      </w:r>
      <w:r w:rsidRPr="001F71EA">
        <w:rPr>
          <w:rFonts w:ascii="Calibri" w:hAnsi="Calibri" w:cs="Calibri"/>
          <w:sz w:val="20"/>
          <w:szCs w:val="20"/>
        </w:rPr>
        <w:t xml:space="preserve"> удержать и перечислить налог за будущий период </w:t>
      </w:r>
      <w:r w:rsidR="00F0731E">
        <w:rPr>
          <w:rFonts w:ascii="Calibri" w:hAnsi="Calibri" w:cs="Calibri"/>
          <w:sz w:val="20"/>
          <w:szCs w:val="20"/>
        </w:rPr>
        <w:t>отсутствовала</w:t>
      </w:r>
      <w:r w:rsidRPr="001F71EA">
        <w:rPr>
          <w:rFonts w:ascii="Calibri" w:hAnsi="Calibri" w:cs="Calibri"/>
          <w:sz w:val="20"/>
          <w:szCs w:val="20"/>
        </w:rPr>
        <w:t xml:space="preserve">. Налоговый агент пытался </w:t>
      </w:r>
      <w:r w:rsidR="00F0731E" w:rsidRPr="001F71EA">
        <w:rPr>
          <w:rFonts w:ascii="Calibri" w:hAnsi="Calibri" w:cs="Calibri"/>
          <w:sz w:val="20"/>
          <w:szCs w:val="20"/>
        </w:rPr>
        <w:t>не устранить ошибку, а</w:t>
      </w:r>
      <w:r w:rsidR="00F0731E" w:rsidRPr="001F71EA">
        <w:rPr>
          <w:rFonts w:ascii="Calibri" w:hAnsi="Calibri" w:cs="Calibri"/>
          <w:sz w:val="20"/>
          <w:szCs w:val="20"/>
        </w:rPr>
        <w:t xml:space="preserve"> </w:t>
      </w:r>
      <w:r w:rsidRPr="001F71EA">
        <w:rPr>
          <w:rFonts w:ascii="Calibri" w:hAnsi="Calibri" w:cs="Calibri"/>
          <w:sz w:val="20"/>
          <w:szCs w:val="20"/>
        </w:rPr>
        <w:t>зачесть переплату. Платежку можно исправить, если период, за который внесли налог</w:t>
      </w:r>
      <w:r w:rsidR="00F0731E">
        <w:rPr>
          <w:rFonts w:ascii="Calibri" w:hAnsi="Calibri" w:cs="Calibri"/>
          <w:sz w:val="20"/>
          <w:szCs w:val="20"/>
        </w:rPr>
        <w:t>,</w:t>
      </w:r>
      <w:r w:rsidR="00F0731E" w:rsidRPr="00F0731E">
        <w:rPr>
          <w:rFonts w:ascii="Calibri" w:hAnsi="Calibri" w:cs="Calibri"/>
          <w:sz w:val="20"/>
          <w:szCs w:val="20"/>
        </w:rPr>
        <w:t xml:space="preserve"> </w:t>
      </w:r>
      <w:r w:rsidR="00F0731E" w:rsidRPr="001F71EA">
        <w:rPr>
          <w:rFonts w:ascii="Calibri" w:hAnsi="Calibri" w:cs="Calibri"/>
          <w:sz w:val="20"/>
          <w:szCs w:val="20"/>
        </w:rPr>
        <w:t>не меняется</w:t>
      </w:r>
      <w:bookmarkStart w:id="1" w:name="_GoBack"/>
      <w:bookmarkEnd w:id="1"/>
      <w:r w:rsidR="00F0731E">
        <w:rPr>
          <w:rFonts w:ascii="Calibri" w:hAnsi="Calibri" w:cs="Calibri"/>
          <w:sz w:val="20"/>
          <w:szCs w:val="20"/>
        </w:rPr>
        <w:t>.</w:t>
      </w:r>
    </w:p>
    <w:p w:rsidR="00175014" w:rsidRDefault="001F71EA" w:rsidP="001F71EA">
      <w:pPr>
        <w:spacing w:after="0"/>
        <w:jc w:val="both"/>
        <w:rPr>
          <w:i/>
          <w:iCs/>
          <w:sz w:val="20"/>
          <w:szCs w:val="20"/>
        </w:rPr>
      </w:pPr>
      <w:r w:rsidRPr="001F71EA">
        <w:rPr>
          <w:rFonts w:cs="Arial"/>
          <w:i/>
          <w:sz w:val="20"/>
          <w:szCs w:val="20"/>
          <w:u w:val="single"/>
        </w:rPr>
        <w:t>Определение ВС РФ от 04.04.2022 N 304-ЭС22-2810</w:t>
      </w:r>
      <w:r w:rsidRPr="001F71EA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1F71EA" w:rsidRPr="001F71EA" w:rsidRDefault="001F71EA" w:rsidP="00175014">
      <w:pPr>
        <w:jc w:val="both"/>
        <w:rPr>
          <w:rFonts w:cs="Arial"/>
          <w:i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Решения высших судов</w:t>
      </w:r>
    </w:p>
    <w:sectPr w:rsidR="001F71EA" w:rsidRPr="001F71EA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8E" w:rsidRDefault="0031568E" w:rsidP="00165173">
      <w:pPr>
        <w:spacing w:after="0" w:line="240" w:lineRule="auto"/>
      </w:pPr>
      <w:r>
        <w:separator/>
      </w:r>
    </w:p>
  </w:endnote>
  <w:endnote w:type="continuationSeparator" w:id="0">
    <w:p w:rsidR="0031568E" w:rsidRDefault="0031568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8E" w:rsidRDefault="0031568E" w:rsidP="00165173">
      <w:pPr>
        <w:spacing w:after="0" w:line="240" w:lineRule="auto"/>
      </w:pPr>
      <w:r>
        <w:separator/>
      </w:r>
    </w:p>
  </w:footnote>
  <w:footnote w:type="continuationSeparator" w:id="0">
    <w:p w:rsidR="0031568E" w:rsidRDefault="0031568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1EA"/>
    <w:rsid w:val="001F7A51"/>
    <w:rsid w:val="002005EC"/>
    <w:rsid w:val="00202ACE"/>
    <w:rsid w:val="00203808"/>
    <w:rsid w:val="00204DEA"/>
    <w:rsid w:val="00205B3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160F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C3B8A"/>
    <w:rsid w:val="00CC668F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073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774&amp;dst=100003%2C-1&amp;date=04.05.2022" TargetMode="External"/><Relationship Id="rId13" Type="http://schemas.openxmlformats.org/officeDocument/2006/relationships/hyperlink" Target="consultantplus://offline/ref=B8E4E895E113EBB097BF5225C337253521529B7A3D65EB226E84B829E88BC15CBBBDDF492345081953A2D9D83087727E5559D8478D0623D4N2Z9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7D53A3F353BEC12677A29A5BCE24F6DCCE5E861257EAD01C7571E50FCF375409E64ECF8733C223F1D09189694952E6A177D6EBBEDC778u3SAD" TargetMode="External"/><Relationship Id="rId12" Type="http://schemas.openxmlformats.org/officeDocument/2006/relationships/hyperlink" Target="https://login.consultant.ru/link/?req=doc&amp;base=RAPS016&amp;n=74446&amp;dst=1000000001&amp;date=04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9CC388C7E2EFAF8B9CC014B20836F72222F08C5B70929F89B5ECB1530A65387BCCEB517874B97FB31CF6F62A123CB77828A9DE943DA04482871JBXD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5781&amp;dst=100002&amp;date=04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6F6FB3F250E26F9CCB97191BF191F584A91D745A8BD2A23E64DF087DA984CBD84844DD2E007B5A0B019487F93ABE567A87C5CA0DA9CE8P1t7C" TargetMode="External"/><Relationship Id="rId14" Type="http://schemas.openxmlformats.org/officeDocument/2006/relationships/hyperlink" Target="https://login.consultant.ru/link/?req=doc&amp;base=ARB&amp;n=707753&amp;dst=1000000001&amp;date=04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2022-04-25T14:02:00Z</dcterms:created>
  <dcterms:modified xsi:type="dcterms:W3CDTF">2022-05-04T11:53:00Z</dcterms:modified>
</cp:coreProperties>
</file>