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p w:rsidR="006F01AF" w:rsidRPr="000E7BC9" w:rsidRDefault="003C066F" w:rsidP="00C95BA8">
      <w:pPr>
        <w:jc w:val="both"/>
        <w:rPr>
          <w:i/>
          <w:iCs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600075</wp:posOffset>
                </wp:positionV>
                <wp:extent cx="3419475" cy="4857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66F" w:rsidRDefault="003C066F" w:rsidP="003C066F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7.25pt;width:26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XRwIAAFcEAAAOAAAAZHJzL2Uyb0RvYy54bWysVLFu2zAQ3Qv0HwjutWxHTmLBcuAmcFHA&#10;SAI4RWaaoiwBFI8laUvu1r2/kH/o0KFbf8H5ox4p2THSTkUX+nh3uuO9986Tq6aSZCuMLUGldNDr&#10;UyIUh6xU65R+epi/u6TEOqYyJkGJlO6EpVfTt28mtU7EEAqQmTAEiyib1DqlhXM6iSLLC1Ex2wMt&#10;FAZzMBVzeDXrKDOsxuqVjIb9/nlUg8m0AS6sRe9NG6TTUD/PBXd3eW6FIzKl+DYXThPOlT+j6YQl&#10;a8N0UfLuGewfXlGxUmHTY6kb5hjZmPKPUlXJDVjIXY9DFUGel1yEGXCaQf/VNMuCaRFmQXCsPsJk&#10;/19Zfru9N6TMUjqmRLEKKdo/7b/vf+x/7X8+f33+RsYeo1rbBFOXGpNd8x4a5Prgt+j0oze5qfwv&#10;DkUwjmjvjgiLxhGOzrN4MI4vRpRwjMWXowu0sXz08rU21n0QUBFvpNQggwFYtl1Y16YeUnwzBfNS&#10;ysCiVKRO6fnZqB8+OEawuFTYw8/QvtVbrlk13WAryHY4l4FWHVbzeYnNF8y6e2ZQDjgKStzd4ZFL&#10;wCbQWZQUYL78ze/zkSWMUlKjvFJqP2+YEZTIjwr5Gw/i2OsxXOLRxRAv5jSyOo2oTXUNqOABLpPm&#10;wfT5Th7M3ED1iJsw810xxBTH3il1B/PataLHTeJiNgtJqEDN3EItNfelPZwe2ofmkRnd4e+QuVs4&#10;CJElr2hoc1siZhsHeRk48gC3qHa4o3oDy92m+fU4vYesl/+D6W8AAAD//wMAUEsDBBQABgAIAAAA&#10;IQBgvJMN4QAAAAkBAAAPAAAAZHJzL2Rvd25yZXYueG1sTI9NT4NAFEX3Jv6HyTNx1w4lUoEyNA1J&#10;Y2J00dqNuwfzCqTzgcy0RX+946ouX+7JvecV60krdqHR9dYIWMwjYGQaK3vTCjh8bGcpMOfRSFTW&#10;kIBvcrAu7+8KzKW9mh1d9r5locS4HAV03g85567pSKOb24FMyI521OjDObZcjngN5VrxOIqWXGNv&#10;wkKHA1UdNaf9WQt4rbbvuKtjnf6o6uXtuBm+Dp+JEI8P02YFzNPkbzD86Qd1KINTbc9GOqYEzNIs&#10;kAKypwRYyJM4WwKrA/i8iICXBf//QfkLAAD//wMAUEsBAi0AFAAGAAgAAAAhALaDOJL+AAAA4QEA&#10;ABMAAAAAAAAAAAAAAAAAAAAAAFtDb250ZW50X1R5cGVzXS54bWxQSwECLQAUAAYACAAAACEAOP0h&#10;/9YAAACUAQAACwAAAAAAAAAAAAAAAAAvAQAAX3JlbHMvLnJlbHNQSwECLQAUAAYACAAAACEABr2Q&#10;10cCAABXBAAADgAAAAAAAAAAAAAAAAAuAgAAZHJzL2Uyb0RvYy54bWxQSwECLQAUAAYACAAAACEA&#10;YLyTDeEAAAAJAQAADwAAAAAAAAAAAAAAAAChBAAAZHJzL2Rvd25yZXYueG1sUEsFBgAAAAAEAAQA&#10;8wAAAK8FAAAAAA==&#10;" filled="f" stroked="f" strokeweight=".5pt">
                <v:textbox>
                  <w:txbxContent>
                    <w:p w:rsidR="003C066F" w:rsidRDefault="003C066F" w:rsidP="003C066F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DF037E">
        <w:rPr>
          <w:rFonts w:cs="Arial"/>
          <w:i/>
          <w:sz w:val="28"/>
          <w:szCs w:val="28"/>
        </w:rPr>
        <w:t>Законодательство</w:t>
      </w:r>
    </w:p>
    <w:p w:rsidR="003C066F" w:rsidRPr="00FC0528" w:rsidRDefault="00E8337C" w:rsidP="00C95BA8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E8337C">
        <w:rPr>
          <w:rFonts w:cs="Arial"/>
          <w:b/>
          <w:bCs/>
          <w:iCs/>
          <w:noProof/>
          <w:sz w:val="20"/>
          <w:szCs w:val="20"/>
          <w:lang w:eastAsia="ru-RU"/>
        </w:rPr>
        <w:t>Сократили перечень квотируемых товаров и уточнили особенности определения НМЦК при их госзакупках</w:t>
      </w:r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>23 декабря из списка товаров по Закону N 44-ФЗ исключили, в частности:</w:t>
      </w:r>
      <w:bookmarkStart w:id="1" w:name="_GoBack"/>
      <w:bookmarkEnd w:id="1"/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 xml:space="preserve">- 26.11.30 </w:t>
      </w:r>
      <w:r w:rsidR="00807F35">
        <w:rPr>
          <w:rFonts w:cs="Arial"/>
          <w:iCs/>
          <w:noProof/>
          <w:sz w:val="20"/>
          <w:szCs w:val="20"/>
          <w:lang w:eastAsia="ru-RU"/>
        </w:rPr>
        <w:t>–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электронные интегральные схемы;</w:t>
      </w:r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 xml:space="preserve">- 26.12.3 </w:t>
      </w:r>
      <w:r w:rsidR="00807F35">
        <w:rPr>
          <w:rFonts w:cs="Arial"/>
          <w:iCs/>
          <w:noProof/>
          <w:sz w:val="20"/>
          <w:szCs w:val="20"/>
          <w:lang w:eastAsia="ru-RU"/>
        </w:rPr>
        <w:t>–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смарт-карты;</w:t>
      </w:r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 xml:space="preserve">- 26.20.11 </w:t>
      </w:r>
      <w:r w:rsidR="00807F35">
        <w:rPr>
          <w:rFonts w:cs="Arial"/>
          <w:iCs/>
          <w:noProof/>
          <w:sz w:val="20"/>
          <w:szCs w:val="20"/>
          <w:lang w:eastAsia="ru-RU"/>
        </w:rPr>
        <w:t>–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портативные компьютеры массой не более 10 кг.</w:t>
      </w:r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 xml:space="preserve">Уточнили наименования некоторых позиций. Например, N 102 </w:t>
      </w:r>
      <w:r w:rsidR="00807F35">
        <w:rPr>
          <w:rFonts w:cs="Arial"/>
          <w:iCs/>
          <w:noProof/>
          <w:sz w:val="20"/>
          <w:szCs w:val="20"/>
          <w:lang w:eastAsia="ru-RU"/>
        </w:rPr>
        <w:t>–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A2707B">
        <w:rPr>
          <w:rFonts w:cs="Arial"/>
          <w:iCs/>
          <w:noProof/>
          <w:sz w:val="20"/>
          <w:szCs w:val="20"/>
          <w:lang w:eastAsia="ru-RU"/>
        </w:rPr>
        <w:t>«</w:t>
      </w:r>
      <w:r w:rsidRPr="00E8337C">
        <w:rPr>
          <w:rFonts w:cs="Arial"/>
          <w:iCs/>
          <w:noProof/>
          <w:sz w:val="20"/>
          <w:szCs w:val="20"/>
          <w:lang w:eastAsia="ru-RU"/>
        </w:rPr>
        <w:t>аппараты верхних конечностей</w:t>
      </w:r>
      <w:r w:rsidR="00A2707B">
        <w:rPr>
          <w:rFonts w:cs="Arial"/>
          <w:iCs/>
          <w:noProof/>
          <w:sz w:val="20"/>
          <w:szCs w:val="20"/>
          <w:lang w:eastAsia="ru-RU"/>
        </w:rPr>
        <w:t>»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заменили на </w:t>
      </w:r>
      <w:r w:rsidR="00A2707B">
        <w:rPr>
          <w:rFonts w:cs="Arial"/>
          <w:iCs/>
          <w:noProof/>
          <w:sz w:val="20"/>
          <w:szCs w:val="20"/>
          <w:lang w:eastAsia="ru-RU"/>
        </w:rPr>
        <w:t>«</w:t>
      </w:r>
      <w:r w:rsidRPr="00E8337C">
        <w:rPr>
          <w:rFonts w:cs="Arial"/>
          <w:iCs/>
          <w:noProof/>
          <w:sz w:val="20"/>
          <w:szCs w:val="20"/>
          <w:lang w:eastAsia="ru-RU"/>
        </w:rPr>
        <w:t>внешние протезы</w:t>
      </w:r>
      <w:r w:rsidR="00A2707B">
        <w:rPr>
          <w:rFonts w:cs="Arial"/>
          <w:iCs/>
          <w:noProof/>
          <w:sz w:val="20"/>
          <w:szCs w:val="20"/>
          <w:lang w:eastAsia="ru-RU"/>
        </w:rPr>
        <w:t>»</w:t>
      </w:r>
      <w:r w:rsidRPr="00E8337C">
        <w:rPr>
          <w:rFonts w:cs="Arial"/>
          <w:iCs/>
          <w:noProof/>
          <w:sz w:val="20"/>
          <w:szCs w:val="20"/>
          <w:lang w:eastAsia="ru-RU"/>
        </w:rPr>
        <w:t>.</w:t>
      </w:r>
    </w:p>
    <w:p w:rsidR="00E8337C" w:rsidRPr="00E8337C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>Кроме того, изменили порядок определения НМЦК. Как и прежде, для ее обоснования рыночным методом ценовые запросы направляют субъектам промышленной сферы из ГИСП.</w:t>
      </w:r>
    </w:p>
    <w:p w:rsidR="003C066F" w:rsidRPr="00FC0528" w:rsidRDefault="00E8337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8337C">
        <w:rPr>
          <w:rFonts w:cs="Arial"/>
          <w:iCs/>
          <w:noProof/>
          <w:sz w:val="20"/>
          <w:szCs w:val="20"/>
          <w:lang w:eastAsia="ru-RU"/>
        </w:rPr>
        <w:t xml:space="preserve">Если в системе не наберут </w:t>
      </w:r>
      <w:r w:rsidR="00807F35">
        <w:rPr>
          <w:rFonts w:cs="Arial"/>
          <w:iCs/>
          <w:noProof/>
          <w:sz w:val="20"/>
          <w:szCs w:val="20"/>
          <w:lang w:eastAsia="ru-RU"/>
        </w:rPr>
        <w:t>трех</w:t>
      </w:r>
      <w:r w:rsidRPr="00E8337C">
        <w:rPr>
          <w:rFonts w:cs="Arial"/>
          <w:iCs/>
          <w:noProof/>
          <w:sz w:val="20"/>
          <w:szCs w:val="20"/>
          <w:lang w:eastAsia="ru-RU"/>
        </w:rPr>
        <w:t xml:space="preserve"> субъектов, то с указанной даты заказчики должны направлять запросы о цене также иным поставщикам идентичной или однородной продукции из ЕАЭС из реестра контрактов.</w:t>
      </w:r>
    </w:p>
    <w:p w:rsidR="003C066F" w:rsidRDefault="00E8337C" w:rsidP="00C95BA8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E8337C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21.12.2021 N 2376</w:t>
      </w:r>
      <w:r w:rsidR="003C066F" w:rsidRPr="00FC0528">
        <w:rPr>
          <w:rFonts w:cs="Arial"/>
          <w:i/>
          <w:iCs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E8337C" w:rsidRPr="004040FC" w:rsidRDefault="003C066F" w:rsidP="00C95BA8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C066F" w:rsidRDefault="004040FC" w:rsidP="00C95BA8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4040FC">
        <w:rPr>
          <w:rFonts w:cs="Arial"/>
          <w:b/>
          <w:bCs/>
          <w:iCs/>
          <w:noProof/>
          <w:sz w:val="20"/>
          <w:szCs w:val="20"/>
          <w:lang w:eastAsia="ru-RU"/>
        </w:rPr>
        <w:t>Определили, кто станет выдавать гарантии участникам госзакупок и вести их спецсчета</w:t>
      </w:r>
    </w:p>
    <w:p w:rsidR="004040FC" w:rsidRPr="004040FC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Правительство утвердило требования к банкам, обслуживаю</w:t>
      </w:r>
      <w:r w:rsidR="005C6836">
        <w:rPr>
          <w:rFonts w:cs="Arial"/>
          <w:iCs/>
          <w:noProof/>
          <w:sz w:val="20"/>
          <w:szCs w:val="20"/>
          <w:lang w:eastAsia="ru-RU"/>
        </w:rPr>
        <w:t>щим</w:t>
      </w:r>
      <w:r w:rsidRPr="004040FC">
        <w:rPr>
          <w:rFonts w:cs="Arial"/>
          <w:iCs/>
          <w:noProof/>
          <w:sz w:val="20"/>
          <w:szCs w:val="20"/>
          <w:lang w:eastAsia="ru-RU"/>
        </w:rPr>
        <w:t xml:space="preserve"> спецсчета, </w:t>
      </w:r>
      <w:r w:rsidR="005C6836">
        <w:rPr>
          <w:rFonts w:cs="Arial"/>
          <w:iCs/>
          <w:noProof/>
          <w:sz w:val="20"/>
          <w:szCs w:val="20"/>
          <w:lang w:eastAsia="ru-RU"/>
        </w:rPr>
        <w:t xml:space="preserve">к </w:t>
      </w:r>
      <w:r w:rsidRPr="004040FC">
        <w:rPr>
          <w:rFonts w:cs="Arial"/>
          <w:iCs/>
          <w:noProof/>
          <w:sz w:val="20"/>
          <w:szCs w:val="20"/>
          <w:lang w:eastAsia="ru-RU"/>
        </w:rPr>
        <w:t>банкам-гарантам и</w:t>
      </w:r>
      <w:r w:rsidR="005C6836">
        <w:rPr>
          <w:rFonts w:cs="Arial"/>
          <w:iCs/>
          <w:noProof/>
          <w:sz w:val="20"/>
          <w:szCs w:val="20"/>
          <w:lang w:eastAsia="ru-RU"/>
        </w:rPr>
        <w:t xml:space="preserve"> к</w:t>
      </w:r>
      <w:r w:rsidRPr="004040FC">
        <w:rPr>
          <w:rFonts w:cs="Arial"/>
          <w:iCs/>
          <w:noProof/>
          <w:sz w:val="20"/>
          <w:szCs w:val="20"/>
          <w:lang w:eastAsia="ru-RU"/>
        </w:rPr>
        <w:t xml:space="preserve"> региональным гарантийным организациям. </w:t>
      </w:r>
      <w:r w:rsidR="005C6836">
        <w:rPr>
          <w:rFonts w:cs="Arial"/>
          <w:iCs/>
          <w:noProof/>
          <w:sz w:val="20"/>
          <w:szCs w:val="20"/>
          <w:lang w:eastAsia="ru-RU"/>
        </w:rPr>
        <w:t>Эти требования предъявляются</w:t>
      </w:r>
      <w:r w:rsidRPr="004040FC">
        <w:rPr>
          <w:rFonts w:cs="Arial"/>
          <w:iCs/>
          <w:noProof/>
          <w:sz w:val="20"/>
          <w:szCs w:val="20"/>
          <w:lang w:eastAsia="ru-RU"/>
        </w:rPr>
        <w:t xml:space="preserve"> с 1 января.</w:t>
      </w:r>
    </w:p>
    <w:p w:rsidR="004040FC" w:rsidRPr="004040FC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Спецсчета, как и прежде, станут обслуживать банки, которые одновременно:</w:t>
      </w:r>
    </w:p>
    <w:p w:rsidR="004040FC" w:rsidRPr="004040FC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- взаимодействуют со всеми операторами электронных площадок;</w:t>
      </w:r>
    </w:p>
    <w:p w:rsidR="004040FC" w:rsidRPr="004040FC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- отвечают требованиям п. 2 Правил размещения средств федерального бюджета на банковских депозитах.</w:t>
      </w:r>
    </w:p>
    <w:p w:rsidR="004040FC" w:rsidRPr="004040FC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Для банков-гарантов оставили только требование к рейтингу. Условия о размере капитала нет.</w:t>
      </w:r>
    </w:p>
    <w:p w:rsidR="003C066F" w:rsidRPr="007953EB" w:rsidRDefault="004040FC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4040FC">
        <w:rPr>
          <w:rFonts w:cs="Arial"/>
          <w:iCs/>
          <w:noProof/>
          <w:sz w:val="20"/>
          <w:szCs w:val="20"/>
          <w:lang w:eastAsia="ru-RU"/>
        </w:rPr>
        <w:t>Кроме того, установили требования</w:t>
      </w:r>
      <w:r w:rsidR="005C6836">
        <w:rPr>
          <w:rFonts w:cs="Arial"/>
          <w:iCs/>
          <w:noProof/>
          <w:sz w:val="20"/>
          <w:szCs w:val="20"/>
          <w:lang w:eastAsia="ru-RU"/>
        </w:rPr>
        <w:t>, предъявляемые</w:t>
      </w:r>
      <w:r w:rsidRPr="004040FC">
        <w:rPr>
          <w:rFonts w:cs="Arial"/>
          <w:iCs/>
          <w:noProof/>
          <w:sz w:val="20"/>
          <w:szCs w:val="20"/>
          <w:lang w:eastAsia="ru-RU"/>
        </w:rPr>
        <w:t xml:space="preserve"> к региональным гарантийным организациям. В их числе </w:t>
      </w:r>
      <w:r w:rsidR="005C6836">
        <w:rPr>
          <w:rFonts w:cs="Arial"/>
          <w:iCs/>
          <w:noProof/>
          <w:sz w:val="20"/>
          <w:szCs w:val="20"/>
          <w:lang w:eastAsia="ru-RU"/>
        </w:rPr>
        <w:t xml:space="preserve">– требование о </w:t>
      </w:r>
      <w:r w:rsidRPr="004040FC">
        <w:rPr>
          <w:rFonts w:cs="Arial"/>
          <w:iCs/>
          <w:noProof/>
          <w:sz w:val="20"/>
          <w:szCs w:val="20"/>
          <w:lang w:eastAsia="ru-RU"/>
        </w:rPr>
        <w:t>наличи</w:t>
      </w:r>
      <w:r w:rsidR="005C6836">
        <w:rPr>
          <w:rFonts w:cs="Arial"/>
          <w:iCs/>
          <w:noProof/>
          <w:sz w:val="20"/>
          <w:szCs w:val="20"/>
          <w:lang w:eastAsia="ru-RU"/>
        </w:rPr>
        <w:t>и</w:t>
      </w:r>
      <w:r w:rsidRPr="004040FC">
        <w:rPr>
          <w:rFonts w:cs="Arial"/>
          <w:iCs/>
          <w:noProof/>
          <w:sz w:val="20"/>
          <w:szCs w:val="20"/>
          <w:lang w:eastAsia="ru-RU"/>
        </w:rPr>
        <w:t xml:space="preserve"> ранга финансовой устойчивости не ниже уровня </w:t>
      </w:r>
      <w:r w:rsidR="00A2707B">
        <w:rPr>
          <w:rFonts w:cs="Arial"/>
          <w:iCs/>
          <w:noProof/>
          <w:sz w:val="20"/>
          <w:szCs w:val="20"/>
          <w:lang w:eastAsia="ru-RU"/>
        </w:rPr>
        <w:t>«</w:t>
      </w:r>
      <w:r w:rsidRPr="004040FC">
        <w:rPr>
          <w:rFonts w:cs="Arial"/>
          <w:iCs/>
          <w:noProof/>
          <w:sz w:val="20"/>
          <w:szCs w:val="20"/>
          <w:lang w:eastAsia="ru-RU"/>
        </w:rPr>
        <w:t>B</w:t>
      </w:r>
      <w:r w:rsidR="00A2707B">
        <w:rPr>
          <w:rFonts w:cs="Arial"/>
          <w:iCs/>
          <w:noProof/>
          <w:sz w:val="20"/>
          <w:szCs w:val="20"/>
          <w:lang w:eastAsia="ru-RU"/>
        </w:rPr>
        <w:t>»</w:t>
      </w:r>
      <w:r w:rsidRPr="004040FC">
        <w:rPr>
          <w:rFonts w:cs="Arial"/>
          <w:iCs/>
          <w:noProof/>
          <w:sz w:val="20"/>
          <w:szCs w:val="20"/>
          <w:lang w:eastAsia="ru-RU"/>
        </w:rPr>
        <w:t>.</w:t>
      </w:r>
    </w:p>
    <w:p w:rsidR="003C066F" w:rsidRPr="00211F2E" w:rsidRDefault="004040FC" w:rsidP="00C95BA8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4040FC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20.12.2021 N 2369</w:t>
      </w:r>
      <w:r w:rsidRPr="004040FC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17104C" w:rsidRDefault="003C066F" w:rsidP="00C95BA8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F7054E" w:rsidRDefault="00F7054E" w:rsidP="00C95BA8">
      <w:pPr>
        <w:spacing w:after="0"/>
        <w:jc w:val="both"/>
        <w:rPr>
          <w:b/>
          <w:bCs/>
          <w:sz w:val="20"/>
          <w:szCs w:val="20"/>
        </w:rPr>
      </w:pPr>
      <w:r w:rsidRPr="00F7054E">
        <w:rPr>
          <w:b/>
          <w:bCs/>
          <w:sz w:val="20"/>
          <w:szCs w:val="20"/>
        </w:rPr>
        <w:t>Особенности оказания услуг связи распространили на большее число госзаказчиков</w:t>
      </w:r>
    </w:p>
    <w:p w:rsidR="00F7054E" w:rsidRPr="00F7054E" w:rsidRDefault="00F7054E" w:rsidP="00C95BA8">
      <w:pPr>
        <w:spacing w:after="0"/>
        <w:jc w:val="both"/>
        <w:rPr>
          <w:sz w:val="20"/>
          <w:szCs w:val="20"/>
        </w:rPr>
      </w:pPr>
      <w:r w:rsidRPr="00F7054E">
        <w:rPr>
          <w:sz w:val="20"/>
          <w:szCs w:val="20"/>
        </w:rPr>
        <w:t>С 30 декабря особенности оказания таких услуг для органов гос</w:t>
      </w:r>
      <w:r w:rsidR="005C6836">
        <w:rPr>
          <w:sz w:val="20"/>
          <w:szCs w:val="20"/>
        </w:rPr>
        <w:t xml:space="preserve">ударственной </w:t>
      </w:r>
      <w:r w:rsidRPr="00F7054E">
        <w:rPr>
          <w:sz w:val="20"/>
          <w:szCs w:val="20"/>
        </w:rPr>
        <w:t>власти, обороны страны, безопасности государства и обеспечения правопорядка распространили и на иные госорганы, органы местного самоуправления и организации, если они:</w:t>
      </w:r>
    </w:p>
    <w:p w:rsidR="00F7054E" w:rsidRPr="00F7054E" w:rsidRDefault="00F7054E" w:rsidP="00C95BA8">
      <w:pPr>
        <w:pStyle w:val="ac"/>
        <w:numPr>
          <w:ilvl w:val="0"/>
          <w:numId w:val="2"/>
        </w:numPr>
        <w:spacing w:after="0"/>
        <w:ind w:left="426"/>
        <w:jc w:val="both"/>
        <w:rPr>
          <w:sz w:val="20"/>
          <w:szCs w:val="20"/>
        </w:rPr>
      </w:pPr>
      <w:r w:rsidRPr="00F7054E">
        <w:rPr>
          <w:sz w:val="20"/>
          <w:szCs w:val="20"/>
        </w:rPr>
        <w:t>заключают контракты (договоры) на такие услуги по Закону N 44-ФЗ;</w:t>
      </w:r>
    </w:p>
    <w:p w:rsidR="00F7054E" w:rsidRPr="00F7054E" w:rsidRDefault="00F7054E" w:rsidP="00C95BA8">
      <w:pPr>
        <w:pStyle w:val="ac"/>
        <w:numPr>
          <w:ilvl w:val="0"/>
          <w:numId w:val="2"/>
        </w:numPr>
        <w:spacing w:after="0"/>
        <w:ind w:left="426"/>
        <w:jc w:val="both"/>
        <w:rPr>
          <w:sz w:val="20"/>
          <w:szCs w:val="20"/>
        </w:rPr>
      </w:pPr>
      <w:r w:rsidRPr="00F7054E">
        <w:rPr>
          <w:sz w:val="20"/>
          <w:szCs w:val="20"/>
        </w:rPr>
        <w:t>оплачивают их за счет бюджетов бюджетной системы РФ.</w:t>
      </w:r>
    </w:p>
    <w:p w:rsidR="00F7054E" w:rsidRPr="00F7054E" w:rsidRDefault="00F7054E" w:rsidP="00C95BA8">
      <w:pPr>
        <w:spacing w:after="0"/>
        <w:jc w:val="both"/>
        <w:rPr>
          <w:sz w:val="20"/>
          <w:szCs w:val="20"/>
        </w:rPr>
      </w:pPr>
      <w:r w:rsidRPr="00F7054E">
        <w:rPr>
          <w:sz w:val="20"/>
          <w:szCs w:val="20"/>
        </w:rPr>
        <w:t>Если условия нового контракта (договора) те же, что и в прошлом, цена услуг не должна превышать цену предыдущего контракта. Ее можно скорректировать только на сумму индексации</w:t>
      </w:r>
      <w:r w:rsidR="005C6836">
        <w:rPr>
          <w:sz w:val="20"/>
          <w:szCs w:val="20"/>
        </w:rPr>
        <w:t>,</w:t>
      </w:r>
      <w:r w:rsidRPr="00F7054E">
        <w:rPr>
          <w:sz w:val="20"/>
          <w:szCs w:val="20"/>
        </w:rPr>
        <w:t xml:space="preserve"> исходя из роста потребительских цен за прошлый год.</w:t>
      </w:r>
    </w:p>
    <w:p w:rsidR="00F7054E" w:rsidRPr="00F7054E" w:rsidRDefault="00F7054E" w:rsidP="00C95BA8">
      <w:pPr>
        <w:spacing w:after="0"/>
        <w:jc w:val="both"/>
        <w:rPr>
          <w:sz w:val="20"/>
          <w:szCs w:val="20"/>
        </w:rPr>
      </w:pPr>
      <w:r w:rsidRPr="00F7054E">
        <w:rPr>
          <w:sz w:val="20"/>
          <w:szCs w:val="20"/>
        </w:rPr>
        <w:t>Как и сейчас, оператор связи не вправе приостановить или прекратить оказ</w:t>
      </w:r>
      <w:r w:rsidR="005C6836">
        <w:rPr>
          <w:sz w:val="20"/>
          <w:szCs w:val="20"/>
        </w:rPr>
        <w:t>ание</w:t>
      </w:r>
      <w:r w:rsidRPr="00F7054E">
        <w:rPr>
          <w:sz w:val="20"/>
          <w:szCs w:val="20"/>
        </w:rPr>
        <w:t xml:space="preserve"> услуг без письменного согласия заказчика. Уточнили, что </w:t>
      </w:r>
      <w:r w:rsidR="005C6836">
        <w:rPr>
          <w:sz w:val="20"/>
          <w:szCs w:val="20"/>
        </w:rPr>
        <w:t>услуги</w:t>
      </w:r>
      <w:r w:rsidRPr="00F7054E">
        <w:rPr>
          <w:sz w:val="20"/>
          <w:szCs w:val="20"/>
        </w:rPr>
        <w:t xml:space="preserve"> надо </w:t>
      </w:r>
      <w:r w:rsidR="005C6836">
        <w:rPr>
          <w:sz w:val="20"/>
          <w:szCs w:val="20"/>
        </w:rPr>
        <w:t>оказывать</w:t>
      </w:r>
      <w:r w:rsidRPr="00F7054E">
        <w:rPr>
          <w:sz w:val="20"/>
          <w:szCs w:val="20"/>
        </w:rPr>
        <w:t xml:space="preserve"> и после окончания срока действия контракта, если новый не заключили. По требованию оператора заказчик должен подтвердить факт оказания услуг. Требовать оплат</w:t>
      </w:r>
      <w:r w:rsidR="005C6836">
        <w:rPr>
          <w:sz w:val="20"/>
          <w:szCs w:val="20"/>
        </w:rPr>
        <w:t>ы</w:t>
      </w:r>
      <w:r w:rsidRPr="00F7054E">
        <w:rPr>
          <w:sz w:val="20"/>
          <w:szCs w:val="20"/>
        </w:rPr>
        <w:t xml:space="preserve"> он может в суде.</w:t>
      </w:r>
    </w:p>
    <w:p w:rsidR="00F7054E" w:rsidRPr="00F7054E" w:rsidRDefault="00F7054E" w:rsidP="00C95BA8">
      <w:pPr>
        <w:spacing w:after="0"/>
        <w:jc w:val="both"/>
        <w:rPr>
          <w:i/>
          <w:iCs/>
          <w:sz w:val="20"/>
          <w:szCs w:val="20"/>
          <w:u w:val="single"/>
        </w:rPr>
      </w:pPr>
      <w:r w:rsidRPr="00F7054E">
        <w:rPr>
          <w:i/>
          <w:iCs/>
          <w:sz w:val="20"/>
          <w:szCs w:val="20"/>
          <w:u w:val="single"/>
        </w:rPr>
        <w:t>Федеральный закон от 30.12.2021 N 465-ФЗ</w:t>
      </w:r>
      <w:r w:rsidRPr="005211FF">
        <w:rPr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F7054E" w:rsidRPr="00F7054E" w:rsidRDefault="00F7054E" w:rsidP="00C95BA8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22487E" w:rsidRPr="00F7054E" w:rsidRDefault="00A125B9" w:rsidP="00C95BA8">
      <w:pPr>
        <w:jc w:val="both"/>
        <w:rPr>
          <w:b/>
          <w:bCs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E8337C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3C5767" w:rsidRDefault="00E8337C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5211FF">
        <w:rPr>
          <w:i/>
          <w:iCs/>
          <w:sz w:val="28"/>
          <w:szCs w:val="28"/>
        </w:rPr>
        <w:t>Судебная практика</w:t>
      </w:r>
    </w:p>
    <w:p w:rsidR="005211FF" w:rsidRPr="005211FF" w:rsidRDefault="005211FF" w:rsidP="00C95BA8">
      <w:pPr>
        <w:spacing w:after="0"/>
        <w:jc w:val="both"/>
        <w:rPr>
          <w:b/>
          <w:bCs/>
          <w:sz w:val="20"/>
          <w:szCs w:val="20"/>
        </w:rPr>
      </w:pPr>
      <w:r w:rsidRPr="005211FF">
        <w:rPr>
          <w:b/>
          <w:bCs/>
          <w:sz w:val="20"/>
          <w:szCs w:val="20"/>
        </w:rPr>
        <w:t>Суды: копию удостоверения на мед</w:t>
      </w:r>
      <w:r w:rsidR="005C6836">
        <w:rPr>
          <w:b/>
          <w:bCs/>
          <w:sz w:val="20"/>
          <w:szCs w:val="20"/>
        </w:rPr>
        <w:t xml:space="preserve">ицинское </w:t>
      </w:r>
      <w:r w:rsidRPr="005211FF">
        <w:rPr>
          <w:b/>
          <w:bCs/>
          <w:sz w:val="20"/>
          <w:szCs w:val="20"/>
        </w:rPr>
        <w:t>изделие в заявке на участие в госзакупке надо представлять полностью</w:t>
      </w:r>
    </w:p>
    <w:p w:rsidR="005211FF" w:rsidRPr="005211FF" w:rsidRDefault="005211FF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211FF">
        <w:rPr>
          <w:rFonts w:cs="Arial"/>
          <w:iCs/>
          <w:noProof/>
          <w:sz w:val="20"/>
          <w:szCs w:val="20"/>
          <w:lang w:eastAsia="ru-RU"/>
        </w:rPr>
        <w:t>Заявку участника отклонили, поскольку он представил копии удостоверений на мед</w:t>
      </w:r>
      <w:r w:rsidR="006D0AC1">
        <w:rPr>
          <w:rFonts w:cs="Arial"/>
          <w:iCs/>
          <w:noProof/>
          <w:sz w:val="20"/>
          <w:szCs w:val="20"/>
          <w:lang w:eastAsia="ru-RU"/>
        </w:rPr>
        <w:t xml:space="preserve">ицинские </w:t>
      </w:r>
      <w:r w:rsidRPr="005211FF">
        <w:rPr>
          <w:rFonts w:cs="Arial"/>
          <w:iCs/>
          <w:noProof/>
          <w:sz w:val="20"/>
          <w:szCs w:val="20"/>
          <w:lang w:eastAsia="ru-RU"/>
        </w:rPr>
        <w:t>изделия без приложений.</w:t>
      </w:r>
    </w:p>
    <w:p w:rsidR="005211FF" w:rsidRPr="005211FF" w:rsidRDefault="005211FF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211FF">
        <w:rPr>
          <w:rFonts w:cs="Arial"/>
          <w:iCs/>
          <w:noProof/>
          <w:sz w:val="20"/>
          <w:szCs w:val="20"/>
          <w:lang w:eastAsia="ru-RU"/>
        </w:rPr>
        <w:t>Контролеры с признали решение заказчика незаконным:</w:t>
      </w:r>
    </w:p>
    <w:p w:rsidR="005211FF" w:rsidRPr="005211FF" w:rsidRDefault="006D0AC1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в заявке есть первые страницы удостоверения с реквизитами документа. Этого достаточно, чтобы получить всю информацию в госреестре мед</w:t>
      </w:r>
      <w:r>
        <w:rPr>
          <w:rFonts w:cs="Arial"/>
          <w:iCs/>
          <w:noProof/>
          <w:sz w:val="20"/>
          <w:szCs w:val="20"/>
          <w:lang w:eastAsia="ru-RU"/>
        </w:rPr>
        <w:t xml:space="preserve">ицинских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изделий;</w:t>
      </w:r>
    </w:p>
    <w:p w:rsidR="005211FF" w:rsidRPr="005211FF" w:rsidRDefault="006D0AC1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 xml:space="preserve">в закупке нет требования </w:t>
      </w:r>
      <w:r>
        <w:rPr>
          <w:rFonts w:cs="Arial"/>
          <w:iCs/>
          <w:noProof/>
          <w:sz w:val="20"/>
          <w:szCs w:val="20"/>
          <w:lang w:eastAsia="ru-RU"/>
        </w:rPr>
        <w:t>о представлении копии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 xml:space="preserve"> полностью.</w:t>
      </w:r>
    </w:p>
    <w:p w:rsidR="005211FF" w:rsidRPr="005211FF" w:rsidRDefault="005211FF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211FF">
        <w:rPr>
          <w:rFonts w:cs="Arial"/>
          <w:iCs/>
          <w:noProof/>
          <w:sz w:val="20"/>
          <w:szCs w:val="20"/>
          <w:lang w:eastAsia="ru-RU"/>
        </w:rPr>
        <w:t>Суды поддержали заказчика:</w:t>
      </w:r>
    </w:p>
    <w:p w:rsidR="005211FF" w:rsidRPr="005211FF" w:rsidRDefault="006D0AC1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 xml:space="preserve">в форме удостоверения указано, что оно может иметь приложение </w:t>
      </w:r>
      <w:r>
        <w:rPr>
          <w:rFonts w:cs="Arial"/>
          <w:iCs/>
          <w:noProof/>
          <w:sz w:val="20"/>
          <w:szCs w:val="20"/>
          <w:lang w:eastAsia="ru-RU"/>
        </w:rPr>
        <w:t>–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 xml:space="preserve"> неотъемлемую часть. Именно в нем есть все составные части и характеристики мед</w:t>
      </w:r>
      <w:r>
        <w:rPr>
          <w:rFonts w:cs="Arial"/>
          <w:iCs/>
          <w:noProof/>
          <w:sz w:val="20"/>
          <w:szCs w:val="20"/>
          <w:lang w:eastAsia="ru-RU"/>
        </w:rPr>
        <w:t xml:space="preserve">ицинского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изделия. При наличии его надо включать в заявку;</w:t>
      </w:r>
    </w:p>
    <w:p w:rsidR="005211FF" w:rsidRPr="005211FF" w:rsidRDefault="006D0AC1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lastRenderedPageBreak/>
        <w:t xml:space="preserve">-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в реестре заказчик проверяет информацию, н</w:t>
      </w:r>
      <w:r>
        <w:rPr>
          <w:rFonts w:cs="Arial"/>
          <w:iCs/>
          <w:noProof/>
          <w:sz w:val="20"/>
          <w:szCs w:val="20"/>
          <w:lang w:eastAsia="ru-RU"/>
        </w:rPr>
        <w:t>о не собирает ее за участника. Наличие в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озможност</w:t>
      </w:r>
      <w:r>
        <w:rPr>
          <w:rFonts w:cs="Arial"/>
          <w:iCs/>
          <w:noProof/>
          <w:sz w:val="20"/>
          <w:szCs w:val="20"/>
          <w:lang w:eastAsia="ru-RU"/>
        </w:rPr>
        <w:t>и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 xml:space="preserve"> такой проверки не снимает с участника обязанность подать документы полностью;</w:t>
      </w:r>
    </w:p>
    <w:p w:rsidR="005211FF" w:rsidRPr="005211FF" w:rsidRDefault="006D0AC1" w:rsidP="00C95BA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отсутствие возможности представить копии удостоверений с приложениями не доказа</w:t>
      </w:r>
      <w:r>
        <w:rPr>
          <w:rFonts w:cs="Arial"/>
          <w:iCs/>
          <w:noProof/>
          <w:sz w:val="20"/>
          <w:szCs w:val="20"/>
          <w:lang w:eastAsia="ru-RU"/>
        </w:rPr>
        <w:t>но</w:t>
      </w:r>
      <w:r w:rsidR="005211FF" w:rsidRPr="005211FF">
        <w:rPr>
          <w:rFonts w:cs="Arial"/>
          <w:iCs/>
          <w:noProof/>
          <w:sz w:val="20"/>
          <w:szCs w:val="20"/>
          <w:lang w:eastAsia="ru-RU"/>
        </w:rPr>
        <w:t>.</w:t>
      </w:r>
    </w:p>
    <w:p w:rsidR="003C066F" w:rsidRPr="00211F2E" w:rsidRDefault="005211FF" w:rsidP="00C95BA8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5211FF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АС Уральского округа от 15.12.2021 по делу N А76-49554/2020</w:t>
      </w:r>
      <w:r w:rsidRPr="005211FF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7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E964FD" w:rsidRPr="004B45F0" w:rsidRDefault="005211FF" w:rsidP="00C95BA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sectPr w:rsidR="00E964FD" w:rsidRPr="004B45F0" w:rsidSect="005B2C45">
      <w:headerReference w:type="default" r:id="rId19"/>
      <w:footerReference w:type="default" r:id="rId20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F3" w:rsidRDefault="00DA05F3" w:rsidP="00165173">
      <w:pPr>
        <w:spacing w:after="0" w:line="240" w:lineRule="auto"/>
      </w:pPr>
      <w:r>
        <w:separator/>
      </w:r>
    </w:p>
  </w:endnote>
  <w:endnote w:type="continuationSeparator" w:id="0">
    <w:p w:rsidR="00DA05F3" w:rsidRDefault="00DA05F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F3" w:rsidRDefault="00DA05F3" w:rsidP="00165173">
      <w:pPr>
        <w:spacing w:after="0" w:line="240" w:lineRule="auto"/>
      </w:pPr>
      <w:r>
        <w:separator/>
      </w:r>
    </w:p>
  </w:footnote>
  <w:footnote w:type="continuationSeparator" w:id="0">
    <w:p w:rsidR="00DA05F3" w:rsidRDefault="00DA05F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62C"/>
    <w:multiLevelType w:val="hybridMultilevel"/>
    <w:tmpl w:val="D89217B6"/>
    <w:lvl w:ilvl="0" w:tplc="F120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E4E65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066F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40FC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56E51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11FF"/>
    <w:rsid w:val="00525A64"/>
    <w:rsid w:val="00525B4F"/>
    <w:rsid w:val="00525DE5"/>
    <w:rsid w:val="00530AB7"/>
    <w:rsid w:val="00532D54"/>
    <w:rsid w:val="005412BC"/>
    <w:rsid w:val="0055228A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4570"/>
    <w:rsid w:val="005C5FD7"/>
    <w:rsid w:val="005C6836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0AC1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07F35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01B1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33F4"/>
    <w:rsid w:val="00A04E27"/>
    <w:rsid w:val="00A05A1F"/>
    <w:rsid w:val="00A078EC"/>
    <w:rsid w:val="00A07945"/>
    <w:rsid w:val="00A125B9"/>
    <w:rsid w:val="00A12966"/>
    <w:rsid w:val="00A155F4"/>
    <w:rsid w:val="00A21D1C"/>
    <w:rsid w:val="00A23D3C"/>
    <w:rsid w:val="00A24CBC"/>
    <w:rsid w:val="00A24FE0"/>
    <w:rsid w:val="00A25014"/>
    <w:rsid w:val="00A2707B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B04B3"/>
    <w:rsid w:val="00AB194E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5BA8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1439"/>
    <w:rsid w:val="00D72197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05F3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337C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054E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337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7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475&amp;dst=100003%2C1&amp;date=10.01.2022" TargetMode="External"/><Relationship Id="rId13" Type="http://schemas.openxmlformats.org/officeDocument/2006/relationships/hyperlink" Target="consultantplus://offline/ref=96FC3BE11B3C8EA9A76BE559DA1300E638D1F427B117B0140557BDF8B210255FA513B3E21346905A044406B1AFBE4CA764B91D7F8EE88F8Ey1QFV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29248B7AE7452AB60A4244A28A5C6DE59365A5DF6B879E5545B90B24EDC0261B2EBBEEDFB930FEA16DDC619718C6BD837066FDC40A531BFEIBV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UR&amp;n=234391&amp;dst=100003&amp;date=10.01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A6BE22FE595E30C5C7E6EDDBF1594AE135813C118F3F7500FD032EAC78900A09FEAA97A2188C34B247309E9F20921F718EFE14DB4F7DAjETB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6205&amp;dst=100003%2C-1&amp;date=10.01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24F48EC01576894AB1215B2544C88415914CDFE2A8EA240FC06E4CA246D6E8FA0FD31B2CF849FBE85E9CD0A19D85C48866037FCFEC0971B6v0LC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405449&amp;dst=100005%2C1&amp;date=10.01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2021-12-27T05:34:00Z</dcterms:created>
  <dcterms:modified xsi:type="dcterms:W3CDTF">2022-01-10T02:23:00Z</dcterms:modified>
</cp:coreProperties>
</file>