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AA27AF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7473C4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ДЕКА</w:t>
                            </w:r>
                            <w:r w:rsidR="001070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7473C4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ДЕКА</w:t>
                      </w:r>
                      <w:r w:rsidR="00107085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427567" w:rsidRDefault="007473C4" w:rsidP="00AA27AF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473C4">
        <w:rPr>
          <w:rFonts w:ascii="Calibri" w:hAnsi="Calibri" w:cs="Calibri"/>
          <w:b/>
          <w:sz w:val="20"/>
          <w:szCs w:val="20"/>
        </w:rPr>
        <w:t xml:space="preserve">Минфин пояснил, на каком счете учреждению </w:t>
      </w:r>
      <w:r w:rsidR="00CC3B8A">
        <w:rPr>
          <w:rFonts w:ascii="Calibri" w:hAnsi="Calibri" w:cs="Calibri"/>
          <w:b/>
          <w:sz w:val="20"/>
          <w:szCs w:val="20"/>
        </w:rPr>
        <w:t xml:space="preserve">следует </w:t>
      </w:r>
      <w:r w:rsidRPr="007473C4">
        <w:rPr>
          <w:rFonts w:ascii="Calibri" w:hAnsi="Calibri" w:cs="Calibri"/>
          <w:b/>
          <w:sz w:val="20"/>
          <w:szCs w:val="20"/>
        </w:rPr>
        <w:t>отра</w:t>
      </w:r>
      <w:r w:rsidR="00810B56">
        <w:rPr>
          <w:rFonts w:ascii="Calibri" w:hAnsi="Calibri" w:cs="Calibri"/>
          <w:b/>
          <w:sz w:val="20"/>
          <w:szCs w:val="20"/>
        </w:rPr>
        <w:t>жа</w:t>
      </w:r>
      <w:r w:rsidRPr="007473C4">
        <w:rPr>
          <w:rFonts w:ascii="Calibri" w:hAnsi="Calibri" w:cs="Calibri"/>
          <w:b/>
          <w:sz w:val="20"/>
          <w:szCs w:val="20"/>
        </w:rPr>
        <w:t>ть доход от удержания обеспечения заявки</w:t>
      </w:r>
    </w:p>
    <w:p w:rsidR="007473C4" w:rsidRPr="007473C4" w:rsidRDefault="007473C4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473C4">
        <w:rPr>
          <w:rFonts w:ascii="Calibri" w:hAnsi="Calibri" w:cs="Calibri"/>
          <w:bCs/>
          <w:sz w:val="20"/>
          <w:szCs w:val="20"/>
        </w:rPr>
        <w:t xml:space="preserve">Если </w:t>
      </w:r>
      <w:r w:rsidR="00CC3B8A" w:rsidRPr="007473C4">
        <w:rPr>
          <w:rFonts w:ascii="Calibri" w:hAnsi="Calibri" w:cs="Calibri"/>
          <w:bCs/>
          <w:sz w:val="20"/>
          <w:szCs w:val="20"/>
        </w:rPr>
        <w:t xml:space="preserve">заявку участника </w:t>
      </w:r>
      <w:r w:rsidRPr="007473C4">
        <w:rPr>
          <w:rFonts w:ascii="Calibri" w:hAnsi="Calibri" w:cs="Calibri"/>
          <w:bCs/>
          <w:sz w:val="20"/>
          <w:szCs w:val="20"/>
        </w:rPr>
        <w:t xml:space="preserve">в течение квартала календарного года на электронной площадке </w:t>
      </w:r>
      <w:r w:rsidR="00810B56">
        <w:rPr>
          <w:rFonts w:ascii="Calibri" w:hAnsi="Calibri" w:cs="Calibri"/>
          <w:bCs/>
          <w:sz w:val="20"/>
          <w:szCs w:val="20"/>
        </w:rPr>
        <w:t>три</w:t>
      </w:r>
      <w:r w:rsidRPr="007473C4">
        <w:rPr>
          <w:rFonts w:ascii="Calibri" w:hAnsi="Calibri" w:cs="Calibri"/>
          <w:bCs/>
          <w:sz w:val="20"/>
          <w:szCs w:val="20"/>
        </w:rPr>
        <w:t xml:space="preserve"> раза отклонили, то ее обеспечение ему не возвращают.</w:t>
      </w:r>
    </w:p>
    <w:p w:rsidR="007473C4" w:rsidRPr="007473C4" w:rsidRDefault="007473C4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473C4">
        <w:rPr>
          <w:rFonts w:ascii="Calibri" w:hAnsi="Calibri" w:cs="Calibri"/>
          <w:bCs/>
          <w:sz w:val="20"/>
          <w:szCs w:val="20"/>
        </w:rPr>
        <w:t>В этом случае оператор площадки удерживает обеспечение по каждой третьей отклоненной заявке и перечисляет деньги на счет учреждения-заказчика. Полученные от участника средства относят к штрафам.</w:t>
      </w:r>
    </w:p>
    <w:p w:rsidR="00427567" w:rsidRPr="0017104C" w:rsidRDefault="007473C4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473C4">
        <w:rPr>
          <w:rFonts w:ascii="Calibri" w:hAnsi="Calibri" w:cs="Calibri"/>
          <w:bCs/>
          <w:sz w:val="20"/>
          <w:szCs w:val="20"/>
        </w:rPr>
        <w:t>По мнению Минфина, доходы от них нужно отражать по счету 205 41.</w:t>
      </w:r>
    </w:p>
    <w:p w:rsidR="00427567" w:rsidRDefault="007473C4" w:rsidP="00AA27AF">
      <w:pPr>
        <w:spacing w:after="0"/>
        <w:jc w:val="both"/>
        <w:rPr>
          <w:i/>
          <w:iCs/>
          <w:sz w:val="20"/>
          <w:szCs w:val="20"/>
        </w:rPr>
      </w:pPr>
      <w:r w:rsidRPr="007473C4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Минфина России от 29.10.2021 N 02-06-10/88030</w:t>
      </w:r>
      <w:r w:rsidR="00CA656C" w:rsidRPr="00CA656C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427567" w:rsidRPr="00074D29">
          <w:rPr>
            <w:i/>
            <w:iCs/>
            <w:sz w:val="20"/>
            <w:szCs w:val="20"/>
          </w:rPr>
          <w:t>(</w:t>
        </w:r>
        <w:r w:rsidR="00427567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427567" w:rsidRPr="00074D29">
        <w:rPr>
          <w:sz w:val="20"/>
          <w:szCs w:val="20"/>
        </w:rPr>
        <w:t>/</w:t>
      </w:r>
      <w:hyperlink r:id="rId8" w:tooltip="Ссылка на КонсультантПлюс" w:history="1">
        <w:r w:rsidR="00427567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427567" w:rsidRPr="00074D29">
        <w:rPr>
          <w:i/>
          <w:iCs/>
          <w:sz w:val="20"/>
          <w:szCs w:val="20"/>
        </w:rPr>
        <w:t>)</w:t>
      </w:r>
    </w:p>
    <w:p w:rsidR="001476A4" w:rsidRPr="00427567" w:rsidRDefault="007473C4" w:rsidP="00AA27A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Разъясняющие письма органов власти</w:t>
      </w:r>
    </w:p>
    <w:p w:rsidR="00D34131" w:rsidRDefault="00D34131" w:rsidP="00AA27AF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34131">
        <w:rPr>
          <w:rFonts w:ascii="Calibri" w:hAnsi="Calibri" w:cs="Calibri"/>
          <w:b/>
          <w:sz w:val="20"/>
          <w:szCs w:val="20"/>
        </w:rPr>
        <w:t>На регистрацию направили изменения в перечнях КБК на 2022 год и плановый период</w:t>
      </w:r>
    </w:p>
    <w:p w:rsidR="00D34131" w:rsidRPr="00D34131" w:rsidRDefault="00D34131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4131">
        <w:rPr>
          <w:rFonts w:ascii="Calibri" w:hAnsi="Calibri" w:cs="Calibri"/>
          <w:bCs/>
          <w:sz w:val="20"/>
          <w:szCs w:val="20"/>
        </w:rPr>
        <w:t>В основном новшества связаны с изменением состава федеральных проектов. Введут коды направлений расходов для новых проектов в сферах здравоохранения, поддержки молодежи, IT-отрасли и транспорта.</w:t>
      </w:r>
    </w:p>
    <w:p w:rsidR="00D34131" w:rsidRPr="00D34131" w:rsidRDefault="00D34131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4131">
        <w:rPr>
          <w:rFonts w:ascii="Calibri" w:hAnsi="Calibri" w:cs="Calibri"/>
          <w:bCs/>
          <w:sz w:val="20"/>
          <w:szCs w:val="20"/>
        </w:rPr>
        <w:t xml:space="preserve">Есть и другие изменения. Например, предусмотрят коды для отражения невыясненных поступлений, которые в течение </w:t>
      </w:r>
      <w:r w:rsidR="00810B56">
        <w:rPr>
          <w:rFonts w:ascii="Calibri" w:hAnsi="Calibri" w:cs="Calibri"/>
          <w:bCs/>
          <w:sz w:val="20"/>
          <w:szCs w:val="20"/>
        </w:rPr>
        <w:t>трех</w:t>
      </w:r>
      <w:r w:rsidRPr="00D34131">
        <w:rPr>
          <w:rFonts w:ascii="Calibri" w:hAnsi="Calibri" w:cs="Calibri"/>
          <w:bCs/>
          <w:sz w:val="20"/>
          <w:szCs w:val="20"/>
        </w:rPr>
        <w:t xml:space="preserve"> лет со дня зачисления на единый счет бюджета</w:t>
      </w:r>
      <w:r w:rsidR="00CC3B8A" w:rsidRPr="00CC3B8A">
        <w:rPr>
          <w:rFonts w:ascii="Calibri" w:hAnsi="Calibri" w:cs="Calibri"/>
          <w:bCs/>
          <w:sz w:val="20"/>
          <w:szCs w:val="20"/>
        </w:rPr>
        <w:t xml:space="preserve"> </w:t>
      </w:r>
      <w:r w:rsidR="00CC3B8A" w:rsidRPr="00D34131">
        <w:rPr>
          <w:rFonts w:ascii="Calibri" w:hAnsi="Calibri" w:cs="Calibri"/>
          <w:bCs/>
          <w:sz w:val="20"/>
          <w:szCs w:val="20"/>
        </w:rPr>
        <w:t>не вернули и не уточнили</w:t>
      </w:r>
      <w:r w:rsidRPr="00D34131">
        <w:rPr>
          <w:rFonts w:ascii="Calibri" w:hAnsi="Calibri" w:cs="Calibri"/>
          <w:bCs/>
          <w:sz w:val="20"/>
          <w:szCs w:val="20"/>
        </w:rPr>
        <w:t>. Добавят коды доходов от штрафов за некоторые нарушения, которые выявили сотрудники Счетной палаты или контрольно-счетных органов субъектов РФ. Подробнее об этих новшествах Минфин рассказал в письме.</w:t>
      </w:r>
    </w:p>
    <w:p w:rsidR="00427567" w:rsidRPr="00B629AE" w:rsidRDefault="00D34131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34131">
        <w:rPr>
          <w:rFonts w:ascii="Calibri" w:hAnsi="Calibri" w:cs="Calibri"/>
          <w:bCs/>
          <w:sz w:val="20"/>
          <w:szCs w:val="20"/>
        </w:rPr>
        <w:t>Учитывайте проект при формировании бюджета на 2022 год и плановый период 2023 и 2024 годов. В ходе регистрации в Минюсте текст документа могут изменить</w:t>
      </w:r>
      <w:r w:rsidR="00427567" w:rsidRPr="00D244F2">
        <w:rPr>
          <w:rFonts w:ascii="Calibri" w:hAnsi="Calibri" w:cs="Calibri"/>
          <w:bCs/>
          <w:sz w:val="20"/>
          <w:szCs w:val="20"/>
        </w:rPr>
        <w:t>.</w:t>
      </w:r>
    </w:p>
    <w:p w:rsidR="00427567" w:rsidRPr="00B629AE" w:rsidRDefault="00D34131" w:rsidP="00AA27AF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34131">
        <w:rPr>
          <w:rFonts w:ascii="Calibri" w:hAnsi="Calibri" w:cs="Calibri"/>
          <w:bCs/>
          <w:i/>
          <w:iCs/>
          <w:sz w:val="20"/>
          <w:szCs w:val="20"/>
          <w:u w:val="single"/>
        </w:rPr>
        <w:t>Приказ Минфина России от 17.11.2021 N 182н</w:t>
      </w:r>
      <w:r w:rsidRPr="00CA656C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427567" w:rsidRPr="00B629AE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427567"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427567" w:rsidRPr="00B629AE">
        <w:rPr>
          <w:sz w:val="20"/>
          <w:szCs w:val="20"/>
        </w:rPr>
        <w:t>/</w:t>
      </w:r>
      <w:hyperlink r:id="rId10" w:history="1">
        <w:r w:rsidR="00427567"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427567" w:rsidRPr="00B629AE">
        <w:rPr>
          <w:i/>
          <w:iCs/>
          <w:sz w:val="20"/>
          <w:szCs w:val="20"/>
        </w:rPr>
        <w:t>)</w:t>
      </w:r>
    </w:p>
    <w:p w:rsidR="00427567" w:rsidRDefault="00427567" w:rsidP="00AA27AF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8C5FD4" w:rsidRDefault="00F33689" w:rsidP="00AA27AF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F33689">
        <w:rPr>
          <w:rFonts w:ascii="Calibri" w:hAnsi="Calibri" w:cs="Calibri"/>
          <w:b/>
          <w:sz w:val="20"/>
          <w:szCs w:val="20"/>
        </w:rPr>
        <w:t>Для учреждений ввели послабления по государственному и муниципальному задани</w:t>
      </w:r>
      <w:r w:rsidR="00CC3B8A">
        <w:rPr>
          <w:rFonts w:ascii="Calibri" w:hAnsi="Calibri" w:cs="Calibri"/>
          <w:b/>
          <w:sz w:val="20"/>
          <w:szCs w:val="20"/>
        </w:rPr>
        <w:t>ям</w:t>
      </w:r>
      <w:r w:rsidRPr="00F33689">
        <w:rPr>
          <w:rFonts w:ascii="Calibri" w:hAnsi="Calibri" w:cs="Calibri"/>
          <w:b/>
          <w:sz w:val="20"/>
          <w:szCs w:val="20"/>
        </w:rPr>
        <w:t xml:space="preserve"> на 2021 год</w:t>
      </w:r>
    </w:p>
    <w:p w:rsidR="00F33689" w:rsidRPr="00F33689" w:rsidRDefault="00F33689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33689">
        <w:rPr>
          <w:rFonts w:ascii="Calibri" w:hAnsi="Calibri" w:cs="Calibri"/>
          <w:bCs/>
          <w:sz w:val="20"/>
          <w:szCs w:val="20"/>
        </w:rPr>
        <w:t xml:space="preserve">Требования смягчили для государственных и муниципальных учреждений, которые в 2021 году приостанавливали или ограничивали </w:t>
      </w:r>
      <w:r w:rsidR="00810B56">
        <w:rPr>
          <w:rFonts w:ascii="Calibri" w:hAnsi="Calibri" w:cs="Calibri"/>
          <w:bCs/>
          <w:sz w:val="20"/>
          <w:szCs w:val="20"/>
        </w:rPr>
        <w:t xml:space="preserve">свою </w:t>
      </w:r>
      <w:bookmarkStart w:id="1" w:name="_GoBack"/>
      <w:bookmarkEnd w:id="1"/>
      <w:r w:rsidRPr="00F33689">
        <w:rPr>
          <w:rFonts w:ascii="Calibri" w:hAnsi="Calibri" w:cs="Calibri"/>
          <w:bCs/>
          <w:sz w:val="20"/>
          <w:szCs w:val="20"/>
        </w:rPr>
        <w:t>деятельность из-за распространения коронавируса.</w:t>
      </w:r>
    </w:p>
    <w:p w:rsidR="00F33689" w:rsidRPr="00F33689" w:rsidRDefault="00F33689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33689">
        <w:rPr>
          <w:rFonts w:ascii="Calibri" w:hAnsi="Calibri" w:cs="Calibri"/>
          <w:bCs/>
          <w:sz w:val="20"/>
          <w:szCs w:val="20"/>
        </w:rPr>
        <w:t>Если из-за эт</w:t>
      </w:r>
      <w:r w:rsidR="00CC3B8A">
        <w:rPr>
          <w:rFonts w:ascii="Calibri" w:hAnsi="Calibri" w:cs="Calibri"/>
          <w:bCs/>
          <w:sz w:val="20"/>
          <w:szCs w:val="20"/>
        </w:rPr>
        <w:t>ого</w:t>
      </w:r>
      <w:r w:rsidRPr="00F33689">
        <w:rPr>
          <w:rFonts w:ascii="Calibri" w:hAnsi="Calibri" w:cs="Calibri"/>
          <w:bCs/>
          <w:sz w:val="20"/>
          <w:szCs w:val="20"/>
        </w:rPr>
        <w:t xml:space="preserve"> обстоятельств</w:t>
      </w:r>
      <w:r w:rsidR="00CC3B8A">
        <w:rPr>
          <w:rFonts w:ascii="Calibri" w:hAnsi="Calibri" w:cs="Calibri"/>
          <w:bCs/>
          <w:sz w:val="20"/>
          <w:szCs w:val="20"/>
        </w:rPr>
        <w:t>а</w:t>
      </w:r>
      <w:r w:rsidRPr="00F33689">
        <w:rPr>
          <w:rFonts w:ascii="Calibri" w:hAnsi="Calibri" w:cs="Calibri"/>
          <w:bCs/>
          <w:sz w:val="20"/>
          <w:szCs w:val="20"/>
        </w:rPr>
        <w:t xml:space="preserve"> организация превысила допустимое отклонение от показателей объема или качества, задание все равно признают выполненным.</w:t>
      </w:r>
    </w:p>
    <w:p w:rsidR="008C5FD4" w:rsidRDefault="00F33689" w:rsidP="00AA27AF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33689">
        <w:rPr>
          <w:rFonts w:ascii="Calibri" w:hAnsi="Calibri" w:cs="Calibri"/>
          <w:bCs/>
          <w:sz w:val="20"/>
          <w:szCs w:val="20"/>
        </w:rPr>
        <w:t>Отметим</w:t>
      </w:r>
      <w:r w:rsidR="00CC3B8A">
        <w:rPr>
          <w:rFonts w:ascii="Calibri" w:hAnsi="Calibri" w:cs="Calibri"/>
          <w:bCs/>
          <w:sz w:val="20"/>
          <w:szCs w:val="20"/>
        </w:rPr>
        <w:t>:</w:t>
      </w:r>
      <w:r w:rsidRPr="00F33689">
        <w:rPr>
          <w:rFonts w:ascii="Calibri" w:hAnsi="Calibri" w:cs="Calibri"/>
          <w:bCs/>
          <w:sz w:val="20"/>
          <w:szCs w:val="20"/>
        </w:rPr>
        <w:t xml:space="preserve"> аналогичный порядок применяли в отношении задания на 2020 год. Послабление позволяет избежать административной и иной ответственности за невыполнение государственного или муниципального задания.</w:t>
      </w:r>
    </w:p>
    <w:p w:rsidR="008C5FD4" w:rsidRPr="00935B2A" w:rsidRDefault="00F33689" w:rsidP="00AA27AF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F33689">
        <w:rPr>
          <w:rFonts w:ascii="Calibri" w:hAnsi="Calibri" w:cs="Calibri"/>
          <w:bCs/>
          <w:i/>
          <w:iCs/>
          <w:sz w:val="20"/>
          <w:szCs w:val="20"/>
          <w:u w:val="single"/>
        </w:rPr>
        <w:t>Федеральный закон от 29.11.2021 N 384-ФЗ</w:t>
      </w:r>
      <w:r w:rsidR="00224191" w:rsidRPr="0022419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8C5FD4" w:rsidRPr="00FD3E58">
          <w:rPr>
            <w:i/>
            <w:iCs/>
            <w:sz w:val="20"/>
            <w:szCs w:val="20"/>
          </w:rPr>
          <w:t>(</w:t>
        </w:r>
        <w:r w:rsidR="008C5FD4" w:rsidRPr="00FD3E58">
          <w:rPr>
            <w:i/>
            <w:iCs/>
            <w:color w:val="0000FF"/>
            <w:sz w:val="20"/>
            <w:szCs w:val="20"/>
          </w:rPr>
          <w:t>офлайн</w:t>
        </w:r>
      </w:hyperlink>
      <w:r w:rsidRPr="00CA656C">
        <w:rPr>
          <w:i/>
          <w:iCs/>
          <w:sz w:val="20"/>
          <w:szCs w:val="20"/>
        </w:rPr>
        <w:t>/</w:t>
      </w:r>
      <w:hyperlink r:id="rId12" w:history="1">
        <w:r w:rsidRPr="00F33689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8C5FD4" w:rsidRPr="00FD3E58">
        <w:rPr>
          <w:i/>
          <w:iCs/>
          <w:sz w:val="20"/>
          <w:szCs w:val="20"/>
        </w:rPr>
        <w:t>)</w:t>
      </w:r>
    </w:p>
    <w:p w:rsidR="00F33689" w:rsidRDefault="00F33689" w:rsidP="00AA27AF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718FF" w:rsidRPr="004718FF" w:rsidRDefault="004718FF" w:rsidP="00AA27AF">
      <w:pPr>
        <w:jc w:val="both"/>
        <w:rPr>
          <w:i/>
          <w:iCs/>
          <w:sz w:val="28"/>
          <w:szCs w:val="28"/>
        </w:rPr>
      </w:pPr>
      <w:r w:rsidRPr="004718FF">
        <w:rPr>
          <w:i/>
          <w:iCs/>
          <w:sz w:val="28"/>
          <w:szCs w:val="28"/>
        </w:rPr>
        <w:t>Судебная практика</w:t>
      </w:r>
    </w:p>
    <w:p w:rsidR="004718FF" w:rsidRDefault="004718FF" w:rsidP="00AA27AF">
      <w:pPr>
        <w:spacing w:after="0"/>
        <w:jc w:val="both"/>
        <w:rPr>
          <w:b/>
          <w:bCs/>
          <w:sz w:val="20"/>
          <w:szCs w:val="20"/>
        </w:rPr>
      </w:pPr>
      <w:r w:rsidRPr="004718FF">
        <w:rPr>
          <w:b/>
          <w:bCs/>
          <w:sz w:val="20"/>
          <w:szCs w:val="20"/>
        </w:rPr>
        <w:t>За счет средств ОМС нельзя оказывать матпомощь, которую организация установила сама</w:t>
      </w:r>
    </w:p>
    <w:p w:rsidR="004718FF" w:rsidRPr="004718FF" w:rsidRDefault="004718FF" w:rsidP="00AA27AF">
      <w:pPr>
        <w:spacing w:after="0"/>
        <w:jc w:val="both"/>
        <w:rPr>
          <w:sz w:val="20"/>
          <w:szCs w:val="20"/>
        </w:rPr>
      </w:pPr>
      <w:r w:rsidRPr="004718FF">
        <w:rPr>
          <w:sz w:val="20"/>
          <w:szCs w:val="20"/>
        </w:rPr>
        <w:t>ВС РФ не стал пересматривать выводы судов о нецелевом использовании средств.</w:t>
      </w:r>
    </w:p>
    <w:p w:rsidR="004718FF" w:rsidRPr="004718FF" w:rsidRDefault="004718FF" w:rsidP="00AA27AF">
      <w:pPr>
        <w:spacing w:after="0"/>
        <w:jc w:val="both"/>
        <w:rPr>
          <w:sz w:val="20"/>
          <w:szCs w:val="20"/>
        </w:rPr>
      </w:pPr>
      <w:r w:rsidRPr="004718FF">
        <w:rPr>
          <w:sz w:val="20"/>
          <w:szCs w:val="20"/>
        </w:rPr>
        <w:t xml:space="preserve">Медицинское учреждение выплачивало работникам матпомощь в связи со смертью близкого родственника, трудным финансовым положением, рождением детей. По собственному решению оно закрепило эти выплаты в разделе </w:t>
      </w:r>
      <w:r w:rsidR="005E6B4A">
        <w:rPr>
          <w:sz w:val="20"/>
          <w:szCs w:val="20"/>
        </w:rPr>
        <w:t>«</w:t>
      </w:r>
      <w:r w:rsidRPr="004718FF">
        <w:rPr>
          <w:sz w:val="20"/>
          <w:szCs w:val="20"/>
        </w:rPr>
        <w:t>Социальные льготы и гарантии</w:t>
      </w:r>
      <w:r w:rsidR="005E6B4A">
        <w:rPr>
          <w:sz w:val="20"/>
          <w:szCs w:val="20"/>
        </w:rPr>
        <w:t>»</w:t>
      </w:r>
      <w:r w:rsidRPr="004718FF">
        <w:rPr>
          <w:sz w:val="20"/>
          <w:szCs w:val="20"/>
        </w:rPr>
        <w:t xml:space="preserve"> коллективного договора. Суммы перечисляли из средств ОМС.</w:t>
      </w:r>
    </w:p>
    <w:p w:rsidR="004718FF" w:rsidRPr="004718FF" w:rsidRDefault="004718FF" w:rsidP="00AA27AF">
      <w:pPr>
        <w:spacing w:after="0"/>
        <w:jc w:val="both"/>
        <w:rPr>
          <w:sz w:val="20"/>
          <w:szCs w:val="20"/>
        </w:rPr>
      </w:pPr>
      <w:r w:rsidRPr="004718FF">
        <w:rPr>
          <w:sz w:val="20"/>
          <w:szCs w:val="20"/>
        </w:rPr>
        <w:t>Контролеры признали расходы нецелевыми. Их решение поддержали три судебные инстанции. Нормативные акты не обязывали учреждение оказывать матпомощь. Оплатой труд</w:t>
      </w:r>
      <w:r w:rsidR="00CC3B8A">
        <w:rPr>
          <w:sz w:val="20"/>
          <w:szCs w:val="20"/>
        </w:rPr>
        <w:t>а</w:t>
      </w:r>
      <w:r w:rsidRPr="004718FF">
        <w:rPr>
          <w:sz w:val="20"/>
          <w:szCs w:val="20"/>
        </w:rPr>
        <w:t xml:space="preserve"> она не является. Организация не доказала, что такие затраты </w:t>
      </w:r>
      <w:r w:rsidR="00CC3B8A">
        <w:rPr>
          <w:sz w:val="20"/>
          <w:szCs w:val="20"/>
        </w:rPr>
        <w:t xml:space="preserve">были </w:t>
      </w:r>
      <w:r w:rsidRPr="004718FF">
        <w:rPr>
          <w:sz w:val="20"/>
          <w:szCs w:val="20"/>
        </w:rPr>
        <w:t>нужны для выполнения программы ОМС.</w:t>
      </w:r>
    </w:p>
    <w:p w:rsidR="004718FF" w:rsidRDefault="00CC3B8A" w:rsidP="00AA27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Отметим:</w:t>
      </w:r>
      <w:r w:rsidR="004718FF" w:rsidRPr="004718FF">
        <w:rPr>
          <w:sz w:val="20"/>
          <w:szCs w:val="20"/>
        </w:rPr>
        <w:t xml:space="preserve"> для государственных и муниципальных учреждений выплату матпомощи иногда предусматривают акты вышестоящих органов. В данном случае для учреждения такую обязанность не установили.</w:t>
      </w:r>
    </w:p>
    <w:p w:rsidR="004718FF" w:rsidRPr="004718FF" w:rsidRDefault="004718FF" w:rsidP="00AA27AF">
      <w:pPr>
        <w:spacing w:after="0"/>
        <w:jc w:val="both"/>
        <w:rPr>
          <w:i/>
          <w:iCs/>
          <w:sz w:val="20"/>
          <w:szCs w:val="20"/>
          <w:u w:val="single"/>
        </w:rPr>
      </w:pPr>
      <w:r w:rsidRPr="004718FF">
        <w:rPr>
          <w:i/>
          <w:iCs/>
          <w:sz w:val="20"/>
          <w:szCs w:val="20"/>
          <w:u w:val="single"/>
        </w:rPr>
        <w:t>Определение ВС РФ от 01.11.2021 N 304-ЭС21-19590</w:t>
      </w:r>
      <w:r w:rsidRPr="00CA656C">
        <w:rPr>
          <w:i/>
          <w:iCs/>
          <w:sz w:val="20"/>
          <w:szCs w:val="20"/>
        </w:rPr>
        <w:t xml:space="preserve"> </w:t>
      </w:r>
      <w:hyperlink r:id="rId13" w:tooltip="Ссылка на КонсультантПлюс" w:history="1">
        <w:r w:rsidRPr="00FD3E58">
          <w:rPr>
            <w:i/>
            <w:iCs/>
            <w:sz w:val="20"/>
            <w:szCs w:val="20"/>
          </w:rPr>
          <w:t>(</w:t>
        </w:r>
        <w:r w:rsidRPr="00FD3E58">
          <w:rPr>
            <w:i/>
            <w:iCs/>
            <w:color w:val="0000FF"/>
            <w:sz w:val="20"/>
            <w:szCs w:val="20"/>
          </w:rPr>
          <w:t>офлайн</w:t>
        </w:r>
      </w:hyperlink>
      <w:r w:rsidRPr="00CA656C">
        <w:rPr>
          <w:i/>
          <w:iCs/>
          <w:sz w:val="20"/>
          <w:szCs w:val="20"/>
        </w:rPr>
        <w:t>/</w:t>
      </w:r>
      <w:hyperlink r:id="rId14" w:history="1">
        <w:r w:rsidRPr="00F33689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FD3E58">
        <w:rPr>
          <w:i/>
          <w:iCs/>
          <w:sz w:val="20"/>
          <w:szCs w:val="20"/>
        </w:rPr>
        <w:t>)</w:t>
      </w:r>
    </w:p>
    <w:p w:rsidR="004718FF" w:rsidRPr="004718FF" w:rsidRDefault="004718FF" w:rsidP="00AA27AF">
      <w:pPr>
        <w:jc w:val="both"/>
        <w:rPr>
          <w:i/>
          <w:iCs/>
          <w:sz w:val="20"/>
          <w:szCs w:val="20"/>
        </w:rPr>
      </w:pPr>
      <w:r w:rsidRPr="004718FF">
        <w:rPr>
          <w:i/>
          <w:iCs/>
          <w:sz w:val="20"/>
          <w:szCs w:val="20"/>
        </w:rPr>
        <w:t>Решения высших судов</w:t>
      </w:r>
    </w:p>
    <w:p w:rsidR="008C5FD4" w:rsidRDefault="008C5FD4" w:rsidP="00AA27A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Аналитика</w:t>
      </w:r>
    </w:p>
    <w:p w:rsidR="005961F7" w:rsidRPr="00074D29" w:rsidRDefault="009B4626" w:rsidP="00AA27AF">
      <w:pPr>
        <w:spacing w:after="0" w:line="240" w:lineRule="auto"/>
        <w:jc w:val="both"/>
        <w:rPr>
          <w:b/>
          <w:bCs/>
          <w:sz w:val="20"/>
          <w:szCs w:val="20"/>
        </w:rPr>
      </w:pPr>
      <w:r w:rsidRPr="009B4626">
        <w:rPr>
          <w:b/>
          <w:bCs/>
          <w:sz w:val="20"/>
          <w:szCs w:val="20"/>
        </w:rPr>
        <w:t>Бухучет и планирование в учреждениях: какие изменения надо учесть в конце 2021 года</w:t>
      </w:r>
    </w:p>
    <w:p w:rsidR="009B4626" w:rsidRDefault="009B4626" w:rsidP="00AA27AF">
      <w:pPr>
        <w:spacing w:after="0" w:line="240" w:lineRule="auto"/>
        <w:jc w:val="both"/>
        <w:rPr>
          <w:sz w:val="20"/>
          <w:szCs w:val="20"/>
        </w:rPr>
      </w:pPr>
      <w:r w:rsidRPr="009B4626">
        <w:rPr>
          <w:sz w:val="20"/>
          <w:szCs w:val="20"/>
        </w:rPr>
        <w:lastRenderedPageBreak/>
        <w:t xml:space="preserve">С нового года </w:t>
      </w:r>
      <w:r w:rsidR="00CC3B8A">
        <w:rPr>
          <w:sz w:val="20"/>
          <w:szCs w:val="20"/>
        </w:rPr>
        <w:t>некоторые</w:t>
      </w:r>
      <w:r w:rsidRPr="009B4626">
        <w:rPr>
          <w:sz w:val="20"/>
          <w:szCs w:val="20"/>
        </w:rPr>
        <w:t xml:space="preserve"> учреждени</w:t>
      </w:r>
      <w:r w:rsidR="00CC3B8A">
        <w:rPr>
          <w:sz w:val="20"/>
          <w:szCs w:val="20"/>
        </w:rPr>
        <w:t>я</w:t>
      </w:r>
      <w:r w:rsidRPr="009B4626">
        <w:rPr>
          <w:sz w:val="20"/>
          <w:szCs w:val="20"/>
        </w:rPr>
        <w:t xml:space="preserve"> должны внедрить дополнительные формы электронных документов бухучета. Появятся новшества в КВР и </w:t>
      </w:r>
      <w:r w:rsidR="00CC3B8A">
        <w:rPr>
          <w:sz w:val="20"/>
          <w:szCs w:val="20"/>
        </w:rPr>
        <w:t xml:space="preserve">в </w:t>
      </w:r>
      <w:r w:rsidRPr="009B4626">
        <w:rPr>
          <w:sz w:val="20"/>
          <w:szCs w:val="20"/>
        </w:rPr>
        <w:t>кодах КОСГУ. Есть и другие изменения. Расскажем, на что обратить внимание при обновлении учетной политики, настройке бухгалтерской программы, утверждении плановых документов.</w:t>
      </w:r>
    </w:p>
    <w:p w:rsidR="005961F7" w:rsidRPr="00074D29" w:rsidRDefault="009B4626" w:rsidP="00AA27AF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9B4626">
        <w:rPr>
          <w:i/>
          <w:iCs/>
          <w:sz w:val="20"/>
          <w:szCs w:val="20"/>
          <w:u w:val="single"/>
        </w:rPr>
        <w:t xml:space="preserve">Обзор: </w:t>
      </w:r>
      <w:r w:rsidR="005E6B4A">
        <w:rPr>
          <w:i/>
          <w:iCs/>
          <w:sz w:val="20"/>
          <w:szCs w:val="20"/>
          <w:u w:val="single"/>
        </w:rPr>
        <w:t>«</w:t>
      </w:r>
      <w:r w:rsidRPr="009B4626">
        <w:rPr>
          <w:i/>
          <w:iCs/>
          <w:sz w:val="20"/>
          <w:szCs w:val="20"/>
          <w:u w:val="single"/>
        </w:rPr>
        <w:t>Бухучет и планирование в учреждениях: какие изменения надо учесть в конце 2021 года</w:t>
      </w:r>
      <w:r w:rsidR="005E6B4A">
        <w:rPr>
          <w:i/>
          <w:iCs/>
          <w:sz w:val="20"/>
          <w:szCs w:val="20"/>
          <w:u w:val="single"/>
        </w:rPr>
        <w:t>»</w:t>
      </w:r>
      <w:r w:rsidR="00CC3B8A">
        <w:rPr>
          <w:i/>
          <w:iCs/>
          <w:sz w:val="20"/>
          <w:szCs w:val="20"/>
          <w:u w:val="single"/>
        </w:rPr>
        <w:t xml:space="preserve"> </w:t>
      </w:r>
      <w:r w:rsidRPr="009B4626">
        <w:rPr>
          <w:i/>
          <w:iCs/>
          <w:sz w:val="20"/>
          <w:szCs w:val="20"/>
          <w:u w:val="single"/>
        </w:rPr>
        <w:t>(КонсультантПлюс, 2021)</w:t>
      </w:r>
      <w:r w:rsidR="005961F7" w:rsidRPr="0004493C">
        <w:rPr>
          <w:i/>
          <w:iCs/>
          <w:sz w:val="20"/>
          <w:szCs w:val="20"/>
        </w:rPr>
        <w:t xml:space="preserve"> </w:t>
      </w:r>
      <w:hyperlink r:id="rId15" w:tooltip="Ссылка на КонсультантПлюс" w:history="1">
        <w:r w:rsidR="005961F7" w:rsidRPr="00074D29">
          <w:rPr>
            <w:i/>
            <w:iCs/>
            <w:sz w:val="20"/>
            <w:szCs w:val="20"/>
          </w:rPr>
          <w:t>(</w:t>
        </w:r>
        <w:r w:rsidR="005961F7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5961F7" w:rsidRPr="00074D29">
        <w:rPr>
          <w:sz w:val="20"/>
          <w:szCs w:val="20"/>
        </w:rPr>
        <w:t>/</w:t>
      </w:r>
      <w:hyperlink r:id="rId16" w:tooltip="Ссылка на КонсультантПлюс" w:history="1">
        <w:r w:rsidR="005961F7"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="005961F7" w:rsidRPr="00074D29">
        <w:rPr>
          <w:i/>
          <w:iCs/>
          <w:sz w:val="20"/>
          <w:szCs w:val="20"/>
        </w:rPr>
        <w:t>)</w:t>
      </w:r>
    </w:p>
    <w:p w:rsidR="00482C32" w:rsidRDefault="005961F7" w:rsidP="00AA27AF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482C32" w:rsidSect="00E85EF2">
      <w:headerReference w:type="default" r:id="rId17"/>
      <w:footerReference w:type="default" r:id="rId18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75" w:rsidRDefault="00022A75" w:rsidP="00165173">
      <w:pPr>
        <w:spacing w:after="0" w:line="240" w:lineRule="auto"/>
      </w:pPr>
      <w:r>
        <w:separator/>
      </w:r>
    </w:p>
  </w:endnote>
  <w:endnote w:type="continuationSeparator" w:id="0">
    <w:p w:rsidR="00022A75" w:rsidRDefault="00022A7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75" w:rsidRDefault="00022A75" w:rsidP="00165173">
      <w:pPr>
        <w:spacing w:after="0" w:line="240" w:lineRule="auto"/>
      </w:pPr>
      <w:r>
        <w:separator/>
      </w:r>
    </w:p>
  </w:footnote>
  <w:footnote w:type="continuationSeparator" w:id="0">
    <w:p w:rsidR="00022A75" w:rsidRDefault="00022A7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20186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726F"/>
    <w:rsid w:val="00051C53"/>
    <w:rsid w:val="000566F1"/>
    <w:rsid w:val="00062B2D"/>
    <w:rsid w:val="000655BD"/>
    <w:rsid w:val="00070D49"/>
    <w:rsid w:val="000718A7"/>
    <w:rsid w:val="00080118"/>
    <w:rsid w:val="00082C46"/>
    <w:rsid w:val="00083B11"/>
    <w:rsid w:val="00083E8E"/>
    <w:rsid w:val="00084C90"/>
    <w:rsid w:val="0008786C"/>
    <w:rsid w:val="00087DAB"/>
    <w:rsid w:val="00090F6E"/>
    <w:rsid w:val="00091964"/>
    <w:rsid w:val="000926E7"/>
    <w:rsid w:val="00092CE3"/>
    <w:rsid w:val="00097878"/>
    <w:rsid w:val="000B117E"/>
    <w:rsid w:val="000B1753"/>
    <w:rsid w:val="000B2373"/>
    <w:rsid w:val="000B2E10"/>
    <w:rsid w:val="000B30E7"/>
    <w:rsid w:val="000C67F9"/>
    <w:rsid w:val="000C7B81"/>
    <w:rsid w:val="000D24AC"/>
    <w:rsid w:val="000D583D"/>
    <w:rsid w:val="000E0534"/>
    <w:rsid w:val="000E2E6A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6890"/>
    <w:rsid w:val="00130E31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476A4"/>
    <w:rsid w:val="0015072B"/>
    <w:rsid w:val="00151358"/>
    <w:rsid w:val="0015195F"/>
    <w:rsid w:val="00160F70"/>
    <w:rsid w:val="00161A5B"/>
    <w:rsid w:val="00163098"/>
    <w:rsid w:val="00164769"/>
    <w:rsid w:val="00164C92"/>
    <w:rsid w:val="00165173"/>
    <w:rsid w:val="00166972"/>
    <w:rsid w:val="00173683"/>
    <w:rsid w:val="001809A5"/>
    <w:rsid w:val="00184E28"/>
    <w:rsid w:val="00186F2E"/>
    <w:rsid w:val="001923BA"/>
    <w:rsid w:val="00194C3E"/>
    <w:rsid w:val="0019747D"/>
    <w:rsid w:val="001A368B"/>
    <w:rsid w:val="001A5D94"/>
    <w:rsid w:val="001C3AEA"/>
    <w:rsid w:val="001D0AA8"/>
    <w:rsid w:val="001D2096"/>
    <w:rsid w:val="001D5CDF"/>
    <w:rsid w:val="001D5FDF"/>
    <w:rsid w:val="001D616E"/>
    <w:rsid w:val="001E363E"/>
    <w:rsid w:val="001E502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4191"/>
    <w:rsid w:val="00226700"/>
    <w:rsid w:val="002268DC"/>
    <w:rsid w:val="002319FE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CE0"/>
    <w:rsid w:val="00257A97"/>
    <w:rsid w:val="00264BE1"/>
    <w:rsid w:val="002663F8"/>
    <w:rsid w:val="0027330D"/>
    <w:rsid w:val="00273509"/>
    <w:rsid w:val="00273F40"/>
    <w:rsid w:val="0027472D"/>
    <w:rsid w:val="002840F8"/>
    <w:rsid w:val="00290726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84F"/>
    <w:rsid w:val="002E176D"/>
    <w:rsid w:val="002E69F5"/>
    <w:rsid w:val="002F51FE"/>
    <w:rsid w:val="0030171C"/>
    <w:rsid w:val="0030172A"/>
    <w:rsid w:val="00301FC8"/>
    <w:rsid w:val="0031345D"/>
    <w:rsid w:val="00316508"/>
    <w:rsid w:val="00317D1B"/>
    <w:rsid w:val="00321018"/>
    <w:rsid w:val="00323972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17E7"/>
    <w:rsid w:val="003631A1"/>
    <w:rsid w:val="0037006F"/>
    <w:rsid w:val="00370111"/>
    <w:rsid w:val="003739D6"/>
    <w:rsid w:val="00374603"/>
    <w:rsid w:val="00375165"/>
    <w:rsid w:val="00381929"/>
    <w:rsid w:val="00383A47"/>
    <w:rsid w:val="00387938"/>
    <w:rsid w:val="00390163"/>
    <w:rsid w:val="00392CED"/>
    <w:rsid w:val="00392EFA"/>
    <w:rsid w:val="00397B6D"/>
    <w:rsid w:val="003A37D1"/>
    <w:rsid w:val="003A3B45"/>
    <w:rsid w:val="003A7A2B"/>
    <w:rsid w:val="003B1A09"/>
    <w:rsid w:val="003B2AB7"/>
    <w:rsid w:val="003B47BF"/>
    <w:rsid w:val="003B4BE1"/>
    <w:rsid w:val="003B723A"/>
    <w:rsid w:val="003C3E46"/>
    <w:rsid w:val="003C45F6"/>
    <w:rsid w:val="003C5EB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D50"/>
    <w:rsid w:val="00427567"/>
    <w:rsid w:val="00437B62"/>
    <w:rsid w:val="00440407"/>
    <w:rsid w:val="004418DF"/>
    <w:rsid w:val="00441FA1"/>
    <w:rsid w:val="0044231E"/>
    <w:rsid w:val="004423F6"/>
    <w:rsid w:val="00444EFA"/>
    <w:rsid w:val="00446AF4"/>
    <w:rsid w:val="0045130A"/>
    <w:rsid w:val="00453149"/>
    <w:rsid w:val="004540D2"/>
    <w:rsid w:val="004557FE"/>
    <w:rsid w:val="00461ACF"/>
    <w:rsid w:val="00461D65"/>
    <w:rsid w:val="004718FF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6F8F"/>
    <w:rsid w:val="004E1534"/>
    <w:rsid w:val="004E65AE"/>
    <w:rsid w:val="004F09DE"/>
    <w:rsid w:val="004F3E85"/>
    <w:rsid w:val="004F5E93"/>
    <w:rsid w:val="004F73B6"/>
    <w:rsid w:val="005155B6"/>
    <w:rsid w:val="00516106"/>
    <w:rsid w:val="0052135F"/>
    <w:rsid w:val="00525A64"/>
    <w:rsid w:val="00527032"/>
    <w:rsid w:val="00530AB7"/>
    <w:rsid w:val="005315C1"/>
    <w:rsid w:val="0053337D"/>
    <w:rsid w:val="005337E0"/>
    <w:rsid w:val="00544401"/>
    <w:rsid w:val="0055081E"/>
    <w:rsid w:val="005571DF"/>
    <w:rsid w:val="00560A33"/>
    <w:rsid w:val="00561811"/>
    <w:rsid w:val="00564211"/>
    <w:rsid w:val="00564421"/>
    <w:rsid w:val="00565219"/>
    <w:rsid w:val="005660BD"/>
    <w:rsid w:val="0056670B"/>
    <w:rsid w:val="00570B74"/>
    <w:rsid w:val="00580E6A"/>
    <w:rsid w:val="005826E8"/>
    <w:rsid w:val="005871EB"/>
    <w:rsid w:val="005904C3"/>
    <w:rsid w:val="00592E31"/>
    <w:rsid w:val="005961F7"/>
    <w:rsid w:val="005A0824"/>
    <w:rsid w:val="005A0F2C"/>
    <w:rsid w:val="005A5754"/>
    <w:rsid w:val="005B1743"/>
    <w:rsid w:val="005B2C45"/>
    <w:rsid w:val="005B3E6E"/>
    <w:rsid w:val="005B4690"/>
    <w:rsid w:val="005B6A77"/>
    <w:rsid w:val="005C1E55"/>
    <w:rsid w:val="005C25A2"/>
    <w:rsid w:val="005C53AC"/>
    <w:rsid w:val="005D605E"/>
    <w:rsid w:val="005E29EF"/>
    <w:rsid w:val="005E4C5F"/>
    <w:rsid w:val="005E6389"/>
    <w:rsid w:val="005E6B4A"/>
    <w:rsid w:val="005E7288"/>
    <w:rsid w:val="005E7390"/>
    <w:rsid w:val="005F0BFA"/>
    <w:rsid w:val="006000EF"/>
    <w:rsid w:val="00605BC7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21C2"/>
    <w:rsid w:val="00656C97"/>
    <w:rsid w:val="006606CC"/>
    <w:rsid w:val="00662697"/>
    <w:rsid w:val="00666DF4"/>
    <w:rsid w:val="00667F05"/>
    <w:rsid w:val="006720CC"/>
    <w:rsid w:val="00672F19"/>
    <w:rsid w:val="006759F8"/>
    <w:rsid w:val="006764CB"/>
    <w:rsid w:val="006770D7"/>
    <w:rsid w:val="006771B0"/>
    <w:rsid w:val="006774EF"/>
    <w:rsid w:val="00677956"/>
    <w:rsid w:val="00682EF2"/>
    <w:rsid w:val="0068347B"/>
    <w:rsid w:val="00687041"/>
    <w:rsid w:val="00687604"/>
    <w:rsid w:val="00691497"/>
    <w:rsid w:val="00692A62"/>
    <w:rsid w:val="00695350"/>
    <w:rsid w:val="006958A5"/>
    <w:rsid w:val="006A0503"/>
    <w:rsid w:val="006A102B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759A"/>
    <w:rsid w:val="006D7929"/>
    <w:rsid w:val="006D79C2"/>
    <w:rsid w:val="00700025"/>
    <w:rsid w:val="007010D5"/>
    <w:rsid w:val="007033BE"/>
    <w:rsid w:val="0070582A"/>
    <w:rsid w:val="007076F9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5B36"/>
    <w:rsid w:val="007371FC"/>
    <w:rsid w:val="00740B03"/>
    <w:rsid w:val="0074443E"/>
    <w:rsid w:val="007473C4"/>
    <w:rsid w:val="007521C4"/>
    <w:rsid w:val="007566FF"/>
    <w:rsid w:val="0076532C"/>
    <w:rsid w:val="00765972"/>
    <w:rsid w:val="00767EA9"/>
    <w:rsid w:val="007716AC"/>
    <w:rsid w:val="00772125"/>
    <w:rsid w:val="007734F3"/>
    <w:rsid w:val="00781404"/>
    <w:rsid w:val="00786F3B"/>
    <w:rsid w:val="00787891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19D9"/>
    <w:rsid w:val="007C33D1"/>
    <w:rsid w:val="007C5C6D"/>
    <w:rsid w:val="007C61AD"/>
    <w:rsid w:val="007D2EB6"/>
    <w:rsid w:val="007D4316"/>
    <w:rsid w:val="007D6605"/>
    <w:rsid w:val="007E5BC5"/>
    <w:rsid w:val="007E66C9"/>
    <w:rsid w:val="007F0ABA"/>
    <w:rsid w:val="007F693F"/>
    <w:rsid w:val="00801C2F"/>
    <w:rsid w:val="0080796B"/>
    <w:rsid w:val="00810B56"/>
    <w:rsid w:val="008129A7"/>
    <w:rsid w:val="008131CF"/>
    <w:rsid w:val="00821405"/>
    <w:rsid w:val="0083035C"/>
    <w:rsid w:val="008342F1"/>
    <w:rsid w:val="0083445D"/>
    <w:rsid w:val="0083670F"/>
    <w:rsid w:val="008367E9"/>
    <w:rsid w:val="00837BB9"/>
    <w:rsid w:val="008411CA"/>
    <w:rsid w:val="0084325B"/>
    <w:rsid w:val="0084419D"/>
    <w:rsid w:val="00844290"/>
    <w:rsid w:val="00851216"/>
    <w:rsid w:val="0085435C"/>
    <w:rsid w:val="008553FF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6A4D"/>
    <w:rsid w:val="00890F17"/>
    <w:rsid w:val="0089447A"/>
    <w:rsid w:val="008964C4"/>
    <w:rsid w:val="0089687E"/>
    <w:rsid w:val="008A6AA0"/>
    <w:rsid w:val="008B0786"/>
    <w:rsid w:val="008B2E02"/>
    <w:rsid w:val="008B4138"/>
    <w:rsid w:val="008B42F2"/>
    <w:rsid w:val="008B7D75"/>
    <w:rsid w:val="008C5FD4"/>
    <w:rsid w:val="008C75FD"/>
    <w:rsid w:val="008D124D"/>
    <w:rsid w:val="008E09A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B2A"/>
    <w:rsid w:val="009366FC"/>
    <w:rsid w:val="00940580"/>
    <w:rsid w:val="00943B3E"/>
    <w:rsid w:val="00944628"/>
    <w:rsid w:val="0094503F"/>
    <w:rsid w:val="009514A8"/>
    <w:rsid w:val="00951C1C"/>
    <w:rsid w:val="0095211F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B4626"/>
    <w:rsid w:val="009C36C5"/>
    <w:rsid w:val="009C57C9"/>
    <w:rsid w:val="009C7578"/>
    <w:rsid w:val="009D30C1"/>
    <w:rsid w:val="009D5B9A"/>
    <w:rsid w:val="009D74C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30016"/>
    <w:rsid w:val="00A35741"/>
    <w:rsid w:val="00A366DD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7DB"/>
    <w:rsid w:val="00A760B8"/>
    <w:rsid w:val="00A76891"/>
    <w:rsid w:val="00A76930"/>
    <w:rsid w:val="00A83203"/>
    <w:rsid w:val="00A849BA"/>
    <w:rsid w:val="00A85EED"/>
    <w:rsid w:val="00A875F0"/>
    <w:rsid w:val="00A87BC0"/>
    <w:rsid w:val="00A91B28"/>
    <w:rsid w:val="00A9597B"/>
    <w:rsid w:val="00AA27AF"/>
    <w:rsid w:val="00AA2B5E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2667"/>
    <w:rsid w:val="00B12956"/>
    <w:rsid w:val="00B21870"/>
    <w:rsid w:val="00B227DE"/>
    <w:rsid w:val="00B24C94"/>
    <w:rsid w:val="00B3032E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5272"/>
    <w:rsid w:val="00B75EEC"/>
    <w:rsid w:val="00B800A5"/>
    <w:rsid w:val="00B87FCB"/>
    <w:rsid w:val="00B93C94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6FF1"/>
    <w:rsid w:val="00BD491C"/>
    <w:rsid w:val="00BD4F89"/>
    <w:rsid w:val="00BD6EEC"/>
    <w:rsid w:val="00BE061A"/>
    <w:rsid w:val="00BE0B82"/>
    <w:rsid w:val="00BE1FBD"/>
    <w:rsid w:val="00BE7E97"/>
    <w:rsid w:val="00BF14E5"/>
    <w:rsid w:val="00BF3053"/>
    <w:rsid w:val="00BF5534"/>
    <w:rsid w:val="00C06F83"/>
    <w:rsid w:val="00C072BF"/>
    <w:rsid w:val="00C1104D"/>
    <w:rsid w:val="00C134B2"/>
    <w:rsid w:val="00C13542"/>
    <w:rsid w:val="00C14CD3"/>
    <w:rsid w:val="00C16716"/>
    <w:rsid w:val="00C1684D"/>
    <w:rsid w:val="00C23801"/>
    <w:rsid w:val="00C3146B"/>
    <w:rsid w:val="00C325B0"/>
    <w:rsid w:val="00C33BF9"/>
    <w:rsid w:val="00C34915"/>
    <w:rsid w:val="00C35F0B"/>
    <w:rsid w:val="00C37066"/>
    <w:rsid w:val="00C43029"/>
    <w:rsid w:val="00C4456F"/>
    <w:rsid w:val="00C50099"/>
    <w:rsid w:val="00C542D0"/>
    <w:rsid w:val="00C551DB"/>
    <w:rsid w:val="00C57A38"/>
    <w:rsid w:val="00C602D1"/>
    <w:rsid w:val="00C70C60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656C"/>
    <w:rsid w:val="00CA6F80"/>
    <w:rsid w:val="00CB08F4"/>
    <w:rsid w:val="00CB11FC"/>
    <w:rsid w:val="00CC3B8A"/>
    <w:rsid w:val="00CD3298"/>
    <w:rsid w:val="00CE2333"/>
    <w:rsid w:val="00CE5F71"/>
    <w:rsid w:val="00CE5FB9"/>
    <w:rsid w:val="00CE63E1"/>
    <w:rsid w:val="00CF0DC3"/>
    <w:rsid w:val="00CF1337"/>
    <w:rsid w:val="00CF1BC1"/>
    <w:rsid w:val="00CF40B4"/>
    <w:rsid w:val="00D01CF7"/>
    <w:rsid w:val="00D06208"/>
    <w:rsid w:val="00D12F56"/>
    <w:rsid w:val="00D13716"/>
    <w:rsid w:val="00D14D52"/>
    <w:rsid w:val="00D15898"/>
    <w:rsid w:val="00D162B9"/>
    <w:rsid w:val="00D20F86"/>
    <w:rsid w:val="00D235F2"/>
    <w:rsid w:val="00D253AA"/>
    <w:rsid w:val="00D27217"/>
    <w:rsid w:val="00D3035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2BB2"/>
    <w:rsid w:val="00DC4EFE"/>
    <w:rsid w:val="00DC52BD"/>
    <w:rsid w:val="00DC5307"/>
    <w:rsid w:val="00DC73D7"/>
    <w:rsid w:val="00DD42D5"/>
    <w:rsid w:val="00DD452F"/>
    <w:rsid w:val="00DD58F0"/>
    <w:rsid w:val="00DD5D83"/>
    <w:rsid w:val="00DD5F31"/>
    <w:rsid w:val="00DE0F57"/>
    <w:rsid w:val="00DE295C"/>
    <w:rsid w:val="00DE5F89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29"/>
    <w:rsid w:val="00E409C6"/>
    <w:rsid w:val="00E43048"/>
    <w:rsid w:val="00E51958"/>
    <w:rsid w:val="00E541F3"/>
    <w:rsid w:val="00E57E51"/>
    <w:rsid w:val="00E6062B"/>
    <w:rsid w:val="00E762E0"/>
    <w:rsid w:val="00E7799D"/>
    <w:rsid w:val="00E80B5C"/>
    <w:rsid w:val="00E85988"/>
    <w:rsid w:val="00E85EF2"/>
    <w:rsid w:val="00E864E8"/>
    <w:rsid w:val="00E9580F"/>
    <w:rsid w:val="00E96634"/>
    <w:rsid w:val="00E97D28"/>
    <w:rsid w:val="00EA2AB0"/>
    <w:rsid w:val="00EA2C11"/>
    <w:rsid w:val="00EA57E9"/>
    <w:rsid w:val="00EA7F7D"/>
    <w:rsid w:val="00EB0D61"/>
    <w:rsid w:val="00EB5564"/>
    <w:rsid w:val="00EB5853"/>
    <w:rsid w:val="00EB5EED"/>
    <w:rsid w:val="00EB662A"/>
    <w:rsid w:val="00EB7D1C"/>
    <w:rsid w:val="00EC1694"/>
    <w:rsid w:val="00EC3516"/>
    <w:rsid w:val="00EC3C7E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7EFF"/>
    <w:rsid w:val="00F00B8F"/>
    <w:rsid w:val="00F00D61"/>
    <w:rsid w:val="00F03E1E"/>
    <w:rsid w:val="00F14A2C"/>
    <w:rsid w:val="00F15121"/>
    <w:rsid w:val="00F166FD"/>
    <w:rsid w:val="00F16BC5"/>
    <w:rsid w:val="00F20B80"/>
    <w:rsid w:val="00F32948"/>
    <w:rsid w:val="00F32A5A"/>
    <w:rsid w:val="00F33689"/>
    <w:rsid w:val="00F362AB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657FA"/>
    <w:rsid w:val="00F665EC"/>
    <w:rsid w:val="00F71794"/>
    <w:rsid w:val="00F733D0"/>
    <w:rsid w:val="00F7533B"/>
    <w:rsid w:val="00F80BFA"/>
    <w:rsid w:val="00F80C5A"/>
    <w:rsid w:val="00F90E63"/>
    <w:rsid w:val="00F910EF"/>
    <w:rsid w:val="00F9145D"/>
    <w:rsid w:val="00F958CF"/>
    <w:rsid w:val="00F979C7"/>
    <w:rsid w:val="00F97C1B"/>
    <w:rsid w:val="00FA4981"/>
    <w:rsid w:val="00FA5C7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D3E58"/>
    <w:rsid w:val="00FE013C"/>
    <w:rsid w:val="00FE08AD"/>
    <w:rsid w:val="00FE34A2"/>
    <w:rsid w:val="00FE362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3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SBO&amp;n=22578&amp;dst=100005&amp;date=03.12.2021" TargetMode="External"/><Relationship Id="rId13" Type="http://schemas.openxmlformats.org/officeDocument/2006/relationships/hyperlink" Target="consultantplus://offline/ref=BCE2D3C9B9CE28E15154513196670D15D93FDBC891C1CE1946DA777E9244743C73EF614859E6B07A4D1A2266777A7390F9DEA1941986149Aq2v0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000699F16026050C77198576B5B2E6CDCD77298741428A29DF39BFC345D34CCA1626ACF0AC9B1D2658841DD73542DCDFD507975765816lBiAL" TargetMode="External"/><Relationship Id="rId12" Type="http://schemas.openxmlformats.org/officeDocument/2006/relationships/hyperlink" Target="https://login.consultant.ru/link/?req=doc&amp;base=LAW&amp;n=401514&amp;dst=100003&amp;date=03.12.20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1546&amp;dst=100002&amp;date=03.12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FB4E21B23391F32581C8D754EA124046FE71804FEE1985975031294886243B8BCFF6E104B58DBA2388EAC05C72F2620CA14D1E85137236qCm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AA5D7397E6094AAAD593612B99A15C89545A0115F0A1AE2361EF5B41F27135AEDEB3CAD7F61A9E01A79A9104F2E98FAC295A7058CE2539sAxAL" TargetMode="External"/><Relationship Id="rId10" Type="http://schemas.openxmlformats.org/officeDocument/2006/relationships/hyperlink" Target="https://login.consultant.ru/link/?req=doc&amp;base=LAW&amp;n=401686&amp;dst=100001&amp;date=03.12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8443E30329ECE7281F860D21F217B822655B4B5AFE14CCDDD5F7DE865E38CB5530025CEFD7E56C7E886D421182945234225D2333F43575FF57C69K9l8L" TargetMode="External"/><Relationship Id="rId14" Type="http://schemas.openxmlformats.org/officeDocument/2006/relationships/hyperlink" Target="https://login.consultant.ru/link/?req=doc&amp;base=ARB&amp;n=687832&amp;dst=100002&amp;date=03.12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17</cp:revision>
  <dcterms:created xsi:type="dcterms:W3CDTF">2021-11-29T05:16:00Z</dcterms:created>
  <dcterms:modified xsi:type="dcterms:W3CDTF">2021-12-05T18:45:00Z</dcterms:modified>
</cp:coreProperties>
</file>