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FA" w:rsidRPr="0027472D" w:rsidRDefault="002B0025" w:rsidP="007A5D52">
      <w:pPr>
        <w:rPr>
          <w:rFonts w:cs="Arial"/>
          <w:i/>
          <w:sz w:val="28"/>
          <w:szCs w:val="28"/>
        </w:rPr>
      </w:pPr>
      <w:r w:rsidRPr="00B162F7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7A5D52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НО</w:t>
                            </w:r>
                            <w:r w:rsidR="0010708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8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7A5D52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НО</w:t>
                      </w:r>
                      <w:r w:rsidR="00107085">
                        <w:rPr>
                          <w:rFonts w:ascii="Arial" w:hAnsi="Arial" w:cs="Arial"/>
                          <w:color w:val="FFFFFF" w:themeColor="background1"/>
                        </w:rPr>
                        <w:t>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5D4B" w:rsidRPr="00A25014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bookmarkEnd w:id="0"/>
    <w:p w:rsidR="007A5D52" w:rsidRDefault="007A5D52" w:rsidP="007A5D5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0453C">
        <w:rPr>
          <w:rFonts w:cs="Arial"/>
          <w:b/>
          <w:bCs/>
          <w:iCs/>
          <w:sz w:val="20"/>
          <w:szCs w:val="20"/>
        </w:rPr>
        <w:t xml:space="preserve">ФНС сообщила о переносе срока сдачи 6-НДФЛ и расчета по страховым взносам из-за ноябрьских </w:t>
      </w:r>
      <w:r w:rsidR="003631A1">
        <w:rPr>
          <w:rFonts w:cs="Arial"/>
          <w:b/>
          <w:bCs/>
          <w:iCs/>
          <w:sz w:val="20"/>
          <w:szCs w:val="20"/>
        </w:rPr>
        <w:t>«</w:t>
      </w:r>
      <w:r w:rsidRPr="0060453C">
        <w:rPr>
          <w:rFonts w:cs="Arial"/>
          <w:b/>
          <w:bCs/>
          <w:iCs/>
          <w:sz w:val="20"/>
          <w:szCs w:val="20"/>
        </w:rPr>
        <w:t>каникул</w:t>
      </w:r>
      <w:r w:rsidR="003631A1">
        <w:rPr>
          <w:rFonts w:cs="Arial"/>
          <w:b/>
          <w:bCs/>
          <w:iCs/>
          <w:sz w:val="20"/>
          <w:szCs w:val="20"/>
        </w:rPr>
        <w:t>»</w:t>
      </w:r>
    </w:p>
    <w:p w:rsidR="007A5D52" w:rsidRPr="005F104E" w:rsidRDefault="007A5D52" w:rsidP="007A5D52">
      <w:pPr>
        <w:spacing w:after="0"/>
        <w:jc w:val="both"/>
        <w:rPr>
          <w:rFonts w:cs="Arial"/>
          <w:iCs/>
          <w:sz w:val="20"/>
          <w:szCs w:val="20"/>
        </w:rPr>
      </w:pPr>
      <w:r w:rsidRPr="0060453C">
        <w:rPr>
          <w:rFonts w:cs="Arial"/>
          <w:iCs/>
          <w:sz w:val="20"/>
          <w:szCs w:val="20"/>
        </w:rPr>
        <w:t>6-НДФЛ и расчет по взносам за 9 месяцев можно подать до 8 ноября включительно. Об этом налоговики объявили на своем сайте.</w:t>
      </w:r>
    </w:p>
    <w:p w:rsidR="007A5D52" w:rsidRDefault="007A5D52" w:rsidP="003631A1">
      <w:pPr>
        <w:spacing w:after="0"/>
        <w:ind w:left="1134"/>
        <w:jc w:val="both"/>
        <w:rPr>
          <w:rFonts w:cs="Arial"/>
          <w:i/>
          <w:sz w:val="20"/>
          <w:szCs w:val="20"/>
          <w:u w:val="single"/>
        </w:rPr>
      </w:pPr>
      <w:r w:rsidRPr="0060453C">
        <w:rPr>
          <w:rFonts w:cs="Arial"/>
          <w:i/>
          <w:sz w:val="20"/>
          <w:szCs w:val="20"/>
          <w:u w:val="single"/>
        </w:rPr>
        <w:t>Информация ФНС России</w:t>
      </w:r>
      <w:r w:rsidRPr="003631A1">
        <w:rPr>
          <w:rFonts w:cs="Arial"/>
          <w:i/>
          <w:sz w:val="20"/>
          <w:szCs w:val="20"/>
        </w:rPr>
        <w:t xml:space="preserve"> </w:t>
      </w:r>
      <w:r w:rsidRPr="005715AA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715AA">
        <w:rPr>
          <w:sz w:val="20"/>
          <w:szCs w:val="20"/>
        </w:rPr>
        <w:t>/</w:t>
      </w:r>
      <w:hyperlink r:id="rId8" w:history="1">
        <w:r w:rsidRPr="007C6A8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E30556">
        <w:rPr>
          <w:i/>
          <w:iCs/>
          <w:sz w:val="20"/>
          <w:szCs w:val="20"/>
        </w:rPr>
        <w:t>)</w:t>
      </w:r>
    </w:p>
    <w:p w:rsidR="007A5D52" w:rsidRPr="001225AE" w:rsidRDefault="007A5D52" w:rsidP="003631A1">
      <w:pPr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31257D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83035C" w:rsidRDefault="007A5D52" w:rsidP="00740B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7A5D52">
        <w:rPr>
          <w:rFonts w:ascii="Calibri" w:hAnsi="Calibri" w:cs="Calibri"/>
          <w:b/>
          <w:sz w:val="20"/>
          <w:szCs w:val="20"/>
        </w:rPr>
        <w:t>ФНС подтвердила: доплаты медикам за вакцинацию от коронавируса не облагают НДФЛ</w:t>
      </w:r>
    </w:p>
    <w:p w:rsidR="007A5D52" w:rsidRPr="007A5D52" w:rsidRDefault="007A5D52" w:rsidP="007A5D5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A5D52">
        <w:rPr>
          <w:rFonts w:ascii="Calibri" w:hAnsi="Calibri" w:cs="Calibri"/>
          <w:bCs/>
          <w:sz w:val="20"/>
          <w:szCs w:val="20"/>
        </w:rPr>
        <w:t>С 27 августа медработники учреждений получают доплату в размере 200 руб. за каждого вакцинированного. Регионы могут увеличить ее за счет собственного бюджета. На сумму начисляют районный коэффициент и процентную надбавку для северных районов. Ранее мы отмечали: выплаты предусмотрены за дополнительную нагрузку, поэтому они освобождены от НДФЛ.</w:t>
      </w:r>
    </w:p>
    <w:p w:rsidR="0083035C" w:rsidRDefault="007A5D52" w:rsidP="007A5D5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A5D52">
        <w:rPr>
          <w:rFonts w:ascii="Calibri" w:hAnsi="Calibri" w:cs="Calibri"/>
          <w:bCs/>
          <w:sz w:val="20"/>
          <w:szCs w:val="20"/>
        </w:rPr>
        <w:t>Этот вывод подтвердила ФНС. Ведомство также указало, что повышенные с учетом доплат отпускные облагают налогом в общем порядке.</w:t>
      </w:r>
    </w:p>
    <w:p w:rsidR="0083035C" w:rsidRPr="0083035C" w:rsidRDefault="007A5D52" w:rsidP="003631A1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7A5D52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Письмо ФНС России от 15.10.2021 </w:t>
      </w:r>
      <w:r w:rsidR="003631A1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7A5D52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БС-4-11/14639@</w:t>
      </w:r>
      <w:r w:rsidR="00791C1C" w:rsidRPr="00E85EF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83035C" w:rsidRPr="00564211">
        <w:rPr>
          <w:rFonts w:ascii="Calibri" w:hAnsi="Calibri" w:cs="Calibri"/>
          <w:bCs/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83035C"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91C1C" w:rsidRPr="00791C1C">
        <w:rPr>
          <w:rStyle w:val="a7"/>
          <w:i/>
          <w:iCs/>
          <w:sz w:val="20"/>
          <w:szCs w:val="20"/>
          <w:u w:val="none"/>
        </w:rPr>
        <w:t>/</w:t>
      </w:r>
      <w:hyperlink r:id="rId10" w:history="1">
        <w:r w:rsidR="00791C1C" w:rsidRPr="00791C1C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83035C" w:rsidRPr="00E30556">
        <w:rPr>
          <w:i/>
          <w:iCs/>
          <w:sz w:val="20"/>
          <w:szCs w:val="20"/>
        </w:rPr>
        <w:t>)</w:t>
      </w:r>
    </w:p>
    <w:p w:rsidR="0083035C" w:rsidRDefault="00791C1C" w:rsidP="003631A1">
      <w:pPr>
        <w:spacing w:after="12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15072B" w:rsidRDefault="0015072B" w:rsidP="0015072B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5072B">
        <w:rPr>
          <w:rFonts w:ascii="Calibri" w:hAnsi="Calibri" w:cs="Calibri"/>
          <w:b/>
          <w:sz w:val="20"/>
          <w:szCs w:val="20"/>
        </w:rPr>
        <w:t>На регистрацию направили поправки к порядку применения КОСГУ</w:t>
      </w:r>
    </w:p>
    <w:p w:rsidR="0015072B" w:rsidRPr="0015072B" w:rsidRDefault="0015072B" w:rsidP="003631A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5072B">
        <w:rPr>
          <w:rFonts w:ascii="Calibri" w:hAnsi="Calibri" w:cs="Calibri"/>
          <w:bCs/>
          <w:sz w:val="20"/>
          <w:szCs w:val="20"/>
        </w:rPr>
        <w:t>Начиная с учета текущего года дополнят перечень операций, которые относят на подстатью 273 КОСГУ. По ней будут отражать и выбытие денег при их недостаче или хищении, отзыве у банка лицензии. Суммы учитывают по этому коду в момент признания требования о возмещении ущерба, а также при поступлении денег в погашение данного долга.</w:t>
      </w:r>
    </w:p>
    <w:p w:rsidR="0015072B" w:rsidRPr="0015072B" w:rsidRDefault="0015072B" w:rsidP="003631A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5072B">
        <w:rPr>
          <w:rFonts w:ascii="Calibri" w:hAnsi="Calibri" w:cs="Calibri"/>
          <w:bCs/>
          <w:sz w:val="20"/>
          <w:szCs w:val="20"/>
        </w:rPr>
        <w:t>С 2022 года в статье 250 КОСГУ разделят операции текущего и капитального характера. Первые будут показывать по прежним кодам 251, 252 и 253. Для вторых введут новые коды:</w:t>
      </w:r>
    </w:p>
    <w:p w:rsidR="0015072B" w:rsidRPr="0015072B" w:rsidRDefault="003631A1" w:rsidP="003631A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15072B" w:rsidRPr="0015072B">
        <w:rPr>
          <w:rFonts w:ascii="Calibri" w:hAnsi="Calibri" w:cs="Calibri"/>
          <w:bCs/>
          <w:sz w:val="20"/>
          <w:szCs w:val="20"/>
        </w:rPr>
        <w:t xml:space="preserve">254 </w:t>
      </w:r>
      <w:r>
        <w:rPr>
          <w:rFonts w:ascii="Calibri" w:hAnsi="Calibri" w:cs="Calibri"/>
          <w:bCs/>
          <w:sz w:val="20"/>
          <w:szCs w:val="20"/>
        </w:rPr>
        <w:t>«</w:t>
      </w:r>
      <w:r w:rsidR="0015072B" w:rsidRPr="0015072B">
        <w:rPr>
          <w:rFonts w:ascii="Calibri" w:hAnsi="Calibri" w:cs="Calibri"/>
          <w:bCs/>
          <w:sz w:val="20"/>
          <w:szCs w:val="20"/>
        </w:rPr>
        <w:t>Перечисления капитального характера другим бюджетам бюджетной системы Российской Федерации</w:t>
      </w:r>
      <w:r>
        <w:rPr>
          <w:rFonts w:ascii="Calibri" w:hAnsi="Calibri" w:cs="Calibri"/>
          <w:bCs/>
          <w:sz w:val="20"/>
          <w:szCs w:val="20"/>
        </w:rPr>
        <w:t>»</w:t>
      </w:r>
      <w:r w:rsidR="0015072B" w:rsidRPr="0015072B">
        <w:rPr>
          <w:rFonts w:ascii="Calibri" w:hAnsi="Calibri" w:cs="Calibri"/>
          <w:bCs/>
          <w:sz w:val="20"/>
          <w:szCs w:val="20"/>
        </w:rPr>
        <w:t>;</w:t>
      </w:r>
    </w:p>
    <w:p w:rsidR="0015072B" w:rsidRPr="0015072B" w:rsidRDefault="003631A1" w:rsidP="003631A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15072B" w:rsidRPr="0015072B">
        <w:rPr>
          <w:rFonts w:ascii="Calibri" w:hAnsi="Calibri" w:cs="Calibri"/>
          <w:bCs/>
          <w:sz w:val="20"/>
          <w:szCs w:val="20"/>
        </w:rPr>
        <w:t xml:space="preserve">255 </w:t>
      </w:r>
      <w:r>
        <w:rPr>
          <w:rFonts w:ascii="Calibri" w:hAnsi="Calibri" w:cs="Calibri"/>
          <w:bCs/>
          <w:sz w:val="20"/>
          <w:szCs w:val="20"/>
        </w:rPr>
        <w:t>«</w:t>
      </w:r>
      <w:r w:rsidR="0015072B" w:rsidRPr="0015072B">
        <w:rPr>
          <w:rFonts w:ascii="Calibri" w:hAnsi="Calibri" w:cs="Calibri"/>
          <w:bCs/>
          <w:sz w:val="20"/>
          <w:szCs w:val="20"/>
        </w:rPr>
        <w:t>Перечисления капитального характера наднациональным организациям и правительствам иностранных государств</w:t>
      </w:r>
      <w:r>
        <w:rPr>
          <w:rFonts w:ascii="Calibri" w:hAnsi="Calibri" w:cs="Calibri"/>
          <w:bCs/>
          <w:sz w:val="20"/>
          <w:szCs w:val="20"/>
        </w:rPr>
        <w:t>»</w:t>
      </w:r>
      <w:r w:rsidR="0015072B" w:rsidRPr="0015072B">
        <w:rPr>
          <w:rFonts w:ascii="Calibri" w:hAnsi="Calibri" w:cs="Calibri"/>
          <w:bCs/>
          <w:sz w:val="20"/>
          <w:szCs w:val="20"/>
        </w:rPr>
        <w:t>;</w:t>
      </w:r>
    </w:p>
    <w:p w:rsidR="0015072B" w:rsidRPr="0015072B" w:rsidRDefault="003631A1" w:rsidP="003631A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 </w:t>
      </w:r>
      <w:r w:rsidR="0015072B" w:rsidRPr="0015072B">
        <w:rPr>
          <w:rFonts w:ascii="Calibri" w:hAnsi="Calibri" w:cs="Calibri"/>
          <w:bCs/>
          <w:sz w:val="20"/>
          <w:szCs w:val="20"/>
        </w:rPr>
        <w:t xml:space="preserve">256 </w:t>
      </w:r>
      <w:r>
        <w:rPr>
          <w:rFonts w:ascii="Calibri" w:hAnsi="Calibri" w:cs="Calibri"/>
          <w:bCs/>
          <w:sz w:val="20"/>
          <w:szCs w:val="20"/>
        </w:rPr>
        <w:t>«</w:t>
      </w:r>
      <w:r w:rsidR="0015072B" w:rsidRPr="0015072B">
        <w:rPr>
          <w:rFonts w:ascii="Calibri" w:hAnsi="Calibri" w:cs="Calibri"/>
          <w:bCs/>
          <w:sz w:val="20"/>
          <w:szCs w:val="20"/>
        </w:rPr>
        <w:t>Перечисления капитального характера</w:t>
      </w:r>
      <w:bookmarkStart w:id="1" w:name="_GoBack"/>
      <w:bookmarkEnd w:id="1"/>
      <w:r w:rsidR="0015072B" w:rsidRPr="0015072B">
        <w:rPr>
          <w:rFonts w:ascii="Calibri" w:hAnsi="Calibri" w:cs="Calibri"/>
          <w:bCs/>
          <w:sz w:val="20"/>
          <w:szCs w:val="20"/>
        </w:rPr>
        <w:t xml:space="preserve"> международным организациям</w:t>
      </w:r>
      <w:r>
        <w:rPr>
          <w:rFonts w:ascii="Calibri" w:hAnsi="Calibri" w:cs="Calibri"/>
          <w:bCs/>
          <w:sz w:val="20"/>
          <w:szCs w:val="20"/>
        </w:rPr>
        <w:t>»</w:t>
      </w:r>
      <w:r w:rsidR="0015072B" w:rsidRPr="0015072B">
        <w:rPr>
          <w:rFonts w:ascii="Calibri" w:hAnsi="Calibri" w:cs="Calibri"/>
          <w:bCs/>
          <w:sz w:val="20"/>
          <w:szCs w:val="20"/>
        </w:rPr>
        <w:t>.</w:t>
      </w:r>
    </w:p>
    <w:p w:rsidR="0015072B" w:rsidRDefault="0015072B" w:rsidP="003631A1">
      <w:pPr>
        <w:spacing w:after="0"/>
        <w:ind w:left="1134"/>
        <w:jc w:val="both"/>
        <w:rPr>
          <w:i/>
          <w:iCs/>
          <w:sz w:val="20"/>
          <w:szCs w:val="20"/>
        </w:rPr>
      </w:pPr>
      <w:r w:rsidRPr="0015072B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Приказ Минфина России от 24.09.2021 </w:t>
      </w:r>
      <w:r w:rsidR="003631A1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15072B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133н</w:t>
      </w:r>
      <w:r w:rsidRPr="003631A1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564211">
        <w:rPr>
          <w:rFonts w:ascii="Calibri" w:hAnsi="Calibri" w:cs="Calibri"/>
          <w:bCs/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791C1C">
        <w:rPr>
          <w:rStyle w:val="a7"/>
          <w:i/>
          <w:iCs/>
          <w:sz w:val="20"/>
          <w:szCs w:val="20"/>
          <w:u w:val="none"/>
        </w:rPr>
        <w:t>/</w:t>
      </w:r>
      <w:hyperlink r:id="rId12" w:history="1">
        <w:r w:rsidRPr="00791C1C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E30556">
        <w:rPr>
          <w:i/>
          <w:iCs/>
          <w:sz w:val="20"/>
          <w:szCs w:val="20"/>
        </w:rPr>
        <w:t>)</w:t>
      </w:r>
    </w:p>
    <w:p w:rsidR="0015072B" w:rsidRDefault="0015072B" w:rsidP="003631A1">
      <w:pPr>
        <w:ind w:left="113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Проекты правовых актов</w:t>
      </w:r>
    </w:p>
    <w:p w:rsidR="005337E0" w:rsidRDefault="005337E0" w:rsidP="005337E0">
      <w:pPr>
        <w:spacing w:after="0"/>
        <w:jc w:val="both"/>
        <w:rPr>
          <w:b/>
          <w:bCs/>
          <w:sz w:val="20"/>
          <w:szCs w:val="20"/>
        </w:rPr>
      </w:pPr>
      <w:r w:rsidRPr="005337E0">
        <w:rPr>
          <w:b/>
          <w:bCs/>
          <w:sz w:val="20"/>
          <w:szCs w:val="20"/>
        </w:rPr>
        <w:t xml:space="preserve">Минфин дал рекомендации федеральным органам, как рассчитать экономию от </w:t>
      </w:r>
      <w:r w:rsidR="003631A1">
        <w:rPr>
          <w:b/>
          <w:bCs/>
          <w:sz w:val="20"/>
          <w:szCs w:val="20"/>
        </w:rPr>
        <w:t>«</w:t>
      </w:r>
      <w:r w:rsidRPr="005337E0">
        <w:rPr>
          <w:b/>
          <w:bCs/>
          <w:sz w:val="20"/>
          <w:szCs w:val="20"/>
        </w:rPr>
        <w:t>излишних</w:t>
      </w:r>
      <w:r w:rsidR="003631A1">
        <w:rPr>
          <w:b/>
          <w:bCs/>
          <w:sz w:val="20"/>
          <w:szCs w:val="20"/>
        </w:rPr>
        <w:t>»</w:t>
      </w:r>
      <w:r w:rsidRPr="005337E0">
        <w:rPr>
          <w:b/>
          <w:bCs/>
          <w:sz w:val="20"/>
          <w:szCs w:val="20"/>
        </w:rPr>
        <w:t xml:space="preserve"> вакансий</w:t>
      </w:r>
    </w:p>
    <w:p w:rsidR="005337E0" w:rsidRDefault="005337E0" w:rsidP="005337E0">
      <w:pPr>
        <w:spacing w:after="0"/>
        <w:jc w:val="both"/>
        <w:rPr>
          <w:sz w:val="20"/>
          <w:szCs w:val="20"/>
        </w:rPr>
      </w:pPr>
      <w:r w:rsidRPr="005337E0">
        <w:rPr>
          <w:sz w:val="20"/>
          <w:szCs w:val="20"/>
        </w:rPr>
        <w:t>В 2021 году федеральным органам запретили премировать работников за счет экономии от вакансий, которые превышают 15% предельной численности штата.</w:t>
      </w:r>
    </w:p>
    <w:p w:rsidR="005337E0" w:rsidRPr="005337E0" w:rsidRDefault="005337E0" w:rsidP="003631A1">
      <w:pPr>
        <w:spacing w:after="0"/>
        <w:jc w:val="both"/>
        <w:rPr>
          <w:sz w:val="20"/>
          <w:szCs w:val="20"/>
        </w:rPr>
      </w:pPr>
      <w:r w:rsidRPr="005337E0">
        <w:rPr>
          <w:sz w:val="20"/>
          <w:szCs w:val="20"/>
        </w:rPr>
        <w:t xml:space="preserve">Ведомство предложило определять этот объем средств путем умножения размера бюджетных ассигнований на оплату труда на процент </w:t>
      </w:r>
      <w:r w:rsidR="003631A1">
        <w:rPr>
          <w:sz w:val="20"/>
          <w:szCs w:val="20"/>
        </w:rPr>
        <w:t>«</w:t>
      </w:r>
      <w:r w:rsidRPr="005337E0">
        <w:rPr>
          <w:sz w:val="20"/>
          <w:szCs w:val="20"/>
        </w:rPr>
        <w:t>излишних</w:t>
      </w:r>
      <w:r w:rsidR="003631A1">
        <w:rPr>
          <w:sz w:val="20"/>
          <w:szCs w:val="20"/>
        </w:rPr>
        <w:t>»</w:t>
      </w:r>
      <w:r w:rsidRPr="005337E0">
        <w:rPr>
          <w:sz w:val="20"/>
          <w:szCs w:val="20"/>
        </w:rPr>
        <w:t xml:space="preserve"> вакансий. Полагаем, процент получают при делении количества таких вакансий на предельную численность штата госоргана. Данное значение рассчитывают, как разницу между общим количеством вакансий и 15% предельной численности штата.</w:t>
      </w:r>
    </w:p>
    <w:p w:rsidR="005337E0" w:rsidRPr="005337E0" w:rsidRDefault="005337E0" w:rsidP="005337E0">
      <w:pPr>
        <w:spacing w:after="0"/>
        <w:jc w:val="both"/>
        <w:rPr>
          <w:sz w:val="20"/>
          <w:szCs w:val="20"/>
        </w:rPr>
      </w:pPr>
      <w:r w:rsidRPr="005337E0">
        <w:rPr>
          <w:sz w:val="20"/>
          <w:szCs w:val="20"/>
        </w:rPr>
        <w:t>По мнению ведомства, запрет надо соблюдать с 14 июля. Показатели исчисляют на каждую дату назначения премии. Вакансиями следует считать только те должности, которые оставались незамещенными в течение всего расчетного периода: от одной даты назначения премии до другой. Бюджетные ассигнования рекомендуем учитывать также только за этот период.</w:t>
      </w:r>
    </w:p>
    <w:p w:rsidR="005337E0" w:rsidRDefault="005337E0" w:rsidP="005337E0">
      <w:pPr>
        <w:spacing w:after="0"/>
        <w:jc w:val="both"/>
        <w:rPr>
          <w:sz w:val="20"/>
          <w:szCs w:val="20"/>
        </w:rPr>
      </w:pPr>
      <w:r w:rsidRPr="005337E0">
        <w:rPr>
          <w:sz w:val="20"/>
          <w:szCs w:val="20"/>
        </w:rPr>
        <w:t xml:space="preserve">Дополнительно Минфин привел перечень выплат, которые можно проводить за счет экономии от </w:t>
      </w:r>
      <w:r w:rsidR="003631A1">
        <w:rPr>
          <w:sz w:val="20"/>
          <w:szCs w:val="20"/>
        </w:rPr>
        <w:t>«</w:t>
      </w:r>
      <w:r w:rsidRPr="005337E0">
        <w:rPr>
          <w:sz w:val="20"/>
          <w:szCs w:val="20"/>
        </w:rPr>
        <w:t>излишних</w:t>
      </w:r>
      <w:r w:rsidR="003631A1">
        <w:rPr>
          <w:sz w:val="20"/>
          <w:szCs w:val="20"/>
        </w:rPr>
        <w:t>»</w:t>
      </w:r>
      <w:r w:rsidRPr="005337E0">
        <w:rPr>
          <w:sz w:val="20"/>
          <w:szCs w:val="20"/>
        </w:rPr>
        <w:t xml:space="preserve"> вакансий. В него вошли единовременные поощрения, компенсации за неиспользованный отпуск, матпомощь и др.</w:t>
      </w:r>
    </w:p>
    <w:p w:rsidR="005337E0" w:rsidRDefault="005337E0" w:rsidP="003631A1">
      <w:pPr>
        <w:spacing w:after="0"/>
        <w:ind w:left="1134"/>
        <w:jc w:val="both"/>
        <w:rPr>
          <w:i/>
          <w:iCs/>
          <w:sz w:val="20"/>
          <w:szCs w:val="20"/>
        </w:rPr>
      </w:pPr>
      <w:r w:rsidRPr="005337E0">
        <w:rPr>
          <w:i/>
          <w:iCs/>
          <w:sz w:val="20"/>
          <w:szCs w:val="20"/>
          <w:u w:val="single"/>
        </w:rPr>
        <w:t xml:space="preserve">Письмо Минфина России от 04.10.2021 </w:t>
      </w:r>
      <w:r w:rsidR="003631A1">
        <w:rPr>
          <w:i/>
          <w:iCs/>
          <w:sz w:val="20"/>
          <w:szCs w:val="20"/>
          <w:u w:val="single"/>
        </w:rPr>
        <w:t>№</w:t>
      </w:r>
      <w:r w:rsidRPr="005337E0">
        <w:rPr>
          <w:i/>
          <w:iCs/>
          <w:sz w:val="20"/>
          <w:szCs w:val="20"/>
          <w:u w:val="single"/>
        </w:rPr>
        <w:t xml:space="preserve"> 14-07-16/80026</w:t>
      </w:r>
      <w:r w:rsidRPr="003631A1">
        <w:rPr>
          <w:i/>
          <w:iCs/>
          <w:sz w:val="20"/>
          <w:szCs w:val="20"/>
        </w:rPr>
        <w:t xml:space="preserve"> </w:t>
      </w:r>
      <w:r w:rsidRPr="00564211">
        <w:rPr>
          <w:rFonts w:ascii="Calibri" w:hAnsi="Calibri" w:cs="Calibri"/>
          <w:bCs/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791C1C">
        <w:rPr>
          <w:rStyle w:val="a7"/>
          <w:i/>
          <w:iCs/>
          <w:sz w:val="20"/>
          <w:szCs w:val="20"/>
          <w:u w:val="none"/>
        </w:rPr>
        <w:t>/</w:t>
      </w:r>
      <w:hyperlink r:id="rId14" w:history="1">
        <w:r w:rsidRPr="00791C1C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E30556">
        <w:rPr>
          <w:i/>
          <w:iCs/>
          <w:sz w:val="20"/>
          <w:szCs w:val="20"/>
        </w:rPr>
        <w:t>)</w:t>
      </w:r>
    </w:p>
    <w:p w:rsidR="005337E0" w:rsidRDefault="005337E0" w:rsidP="003631A1">
      <w:pPr>
        <w:spacing w:after="12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381929" w:rsidRDefault="00E96634" w:rsidP="00BF5534">
      <w:pPr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Судебная практика</w:t>
      </w:r>
    </w:p>
    <w:p w:rsidR="00E96634" w:rsidRDefault="00E96634" w:rsidP="00E96634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E96634">
        <w:rPr>
          <w:rFonts w:ascii="Calibri" w:hAnsi="Calibri" w:cs="Calibri"/>
          <w:b/>
          <w:sz w:val="20"/>
          <w:szCs w:val="20"/>
        </w:rPr>
        <w:t>Техническая ошибка при оформлении документов не приводит к нецелевым расходам, напомнил суд</w:t>
      </w:r>
    </w:p>
    <w:p w:rsidR="00E96634" w:rsidRPr="00E96634" w:rsidRDefault="00E96634" w:rsidP="00E9663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E96634">
        <w:rPr>
          <w:rFonts w:ascii="Calibri" w:hAnsi="Calibri" w:cs="Calibri"/>
          <w:bCs/>
          <w:sz w:val="20"/>
          <w:szCs w:val="20"/>
        </w:rPr>
        <w:t>В мае текущего года ВС РФ признал целевыми расходы на выплату премии, по которой оформили не все кадровые документы. Положение об оплате труда запрещало премировать сотрудников со взысканием. Руководитель снял с работника наказание, но оформил это лишь резолюцией на служебной записке. Приказ он не издавал.</w:t>
      </w:r>
    </w:p>
    <w:p w:rsidR="00E96634" w:rsidRPr="00E96634" w:rsidRDefault="00E96634" w:rsidP="00E96634">
      <w:pPr>
        <w:jc w:val="both"/>
        <w:rPr>
          <w:rFonts w:ascii="Calibri" w:hAnsi="Calibri" w:cs="Calibri"/>
          <w:bCs/>
          <w:sz w:val="20"/>
          <w:szCs w:val="20"/>
        </w:rPr>
      </w:pPr>
      <w:r w:rsidRPr="00E96634">
        <w:rPr>
          <w:rFonts w:ascii="Calibri" w:hAnsi="Calibri" w:cs="Calibri"/>
          <w:bCs/>
          <w:sz w:val="20"/>
          <w:szCs w:val="20"/>
        </w:rPr>
        <w:t>Проверяющие посчитали выплату премии нецелевыми расходами и выдали представление устранить нарушение. Суд отменил требование контролеров. Руководитель неправильно оформил документы, но к нецелевому расходу это не привело.</w:t>
      </w:r>
    </w:p>
    <w:p w:rsidR="00E96634" w:rsidRDefault="00E96634" w:rsidP="00E9663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E96634">
        <w:rPr>
          <w:rFonts w:ascii="Calibri" w:hAnsi="Calibri" w:cs="Calibri"/>
          <w:bCs/>
          <w:sz w:val="20"/>
          <w:szCs w:val="20"/>
        </w:rPr>
        <w:lastRenderedPageBreak/>
        <w:t xml:space="preserve">Несмотря на такие выводы контролеры продолжали настаивать на штрафе за </w:t>
      </w:r>
      <w:r w:rsidR="003631A1">
        <w:rPr>
          <w:rFonts w:ascii="Calibri" w:hAnsi="Calibri" w:cs="Calibri"/>
          <w:bCs/>
          <w:sz w:val="20"/>
          <w:szCs w:val="20"/>
        </w:rPr>
        <w:t>«</w:t>
      </w:r>
      <w:proofErr w:type="spellStart"/>
      <w:r w:rsidRPr="00E96634">
        <w:rPr>
          <w:rFonts w:ascii="Calibri" w:hAnsi="Calibri" w:cs="Calibri"/>
          <w:bCs/>
          <w:sz w:val="20"/>
          <w:szCs w:val="20"/>
        </w:rPr>
        <w:t>нецелевку</w:t>
      </w:r>
      <w:proofErr w:type="spellEnd"/>
      <w:r w:rsidR="003631A1">
        <w:rPr>
          <w:rFonts w:ascii="Calibri" w:hAnsi="Calibri" w:cs="Calibri"/>
          <w:bCs/>
          <w:sz w:val="20"/>
          <w:szCs w:val="20"/>
        </w:rPr>
        <w:t>»</w:t>
      </w:r>
      <w:r w:rsidRPr="00E96634">
        <w:rPr>
          <w:rFonts w:ascii="Calibri" w:hAnsi="Calibri" w:cs="Calibri"/>
          <w:bCs/>
          <w:sz w:val="20"/>
          <w:szCs w:val="20"/>
        </w:rPr>
        <w:t>. Недавно судьи отменили и его. Они подтвердили: ошибку можно считать технической. Руководитель полагал, что снимает взыскание резолюцией. На основании подобных ошибок нельзя решать, допустило ли учреждение нецелевые расходы.</w:t>
      </w:r>
    </w:p>
    <w:p w:rsidR="00E96634" w:rsidRDefault="00E96634" w:rsidP="003631A1">
      <w:pPr>
        <w:spacing w:after="0"/>
        <w:ind w:left="1134"/>
        <w:jc w:val="both"/>
        <w:rPr>
          <w:i/>
          <w:iCs/>
          <w:sz w:val="20"/>
          <w:szCs w:val="20"/>
        </w:rPr>
      </w:pPr>
      <w:r w:rsidRPr="00E96634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Постановление АС Северо-Кавказского округа от 22.09.2021 по делу </w:t>
      </w:r>
      <w:r w:rsidR="003631A1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E96634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А32-57978/2019</w:t>
      </w:r>
      <w:r w:rsidRPr="003631A1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564211">
        <w:rPr>
          <w:rFonts w:ascii="Calibri" w:hAnsi="Calibri" w:cs="Calibri"/>
          <w:bCs/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791C1C">
        <w:rPr>
          <w:rStyle w:val="a7"/>
          <w:i/>
          <w:iCs/>
          <w:sz w:val="20"/>
          <w:szCs w:val="20"/>
          <w:u w:val="none"/>
        </w:rPr>
        <w:t>/</w:t>
      </w:r>
      <w:hyperlink r:id="rId16" w:history="1">
        <w:r w:rsidRPr="00791C1C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E30556">
        <w:rPr>
          <w:i/>
          <w:iCs/>
          <w:sz w:val="20"/>
          <w:szCs w:val="20"/>
        </w:rPr>
        <w:t>)</w:t>
      </w:r>
    </w:p>
    <w:p w:rsidR="00E96634" w:rsidRPr="00E96634" w:rsidRDefault="00E96634" w:rsidP="003631A1">
      <w:pPr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Арбитражные суды округов</w:t>
      </w:r>
    </w:p>
    <w:sectPr w:rsidR="00E96634" w:rsidRPr="00E96634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C4" w:rsidRDefault="007521C4" w:rsidP="00165173">
      <w:pPr>
        <w:spacing w:after="0" w:line="240" w:lineRule="auto"/>
      </w:pPr>
      <w:r>
        <w:separator/>
      </w:r>
    </w:p>
  </w:endnote>
  <w:endnote w:type="continuationSeparator" w:id="0">
    <w:p w:rsidR="007521C4" w:rsidRDefault="007521C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C4" w:rsidRDefault="007521C4" w:rsidP="00165173">
      <w:pPr>
        <w:spacing w:after="0" w:line="240" w:lineRule="auto"/>
      </w:pPr>
      <w:r>
        <w:separator/>
      </w:r>
    </w:p>
  </w:footnote>
  <w:footnote w:type="continuationSeparator" w:id="0">
    <w:p w:rsidR="007521C4" w:rsidRDefault="007521C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20186"/>
    <w:rsid w:val="00021A7F"/>
    <w:rsid w:val="00024861"/>
    <w:rsid w:val="00025727"/>
    <w:rsid w:val="00026F83"/>
    <w:rsid w:val="0003596D"/>
    <w:rsid w:val="00036B8D"/>
    <w:rsid w:val="000371DA"/>
    <w:rsid w:val="0004196D"/>
    <w:rsid w:val="0004726F"/>
    <w:rsid w:val="00051C53"/>
    <w:rsid w:val="000566F1"/>
    <w:rsid w:val="00062B2D"/>
    <w:rsid w:val="000655BD"/>
    <w:rsid w:val="00070D49"/>
    <w:rsid w:val="000718A7"/>
    <w:rsid w:val="00080118"/>
    <w:rsid w:val="00082C46"/>
    <w:rsid w:val="00083B11"/>
    <w:rsid w:val="00084C90"/>
    <w:rsid w:val="00087DAB"/>
    <w:rsid w:val="00091964"/>
    <w:rsid w:val="000926E7"/>
    <w:rsid w:val="00092CE3"/>
    <w:rsid w:val="00097878"/>
    <w:rsid w:val="000B117E"/>
    <w:rsid w:val="000B1753"/>
    <w:rsid w:val="000B2373"/>
    <w:rsid w:val="000B2E10"/>
    <w:rsid w:val="000B30E7"/>
    <w:rsid w:val="000C67F9"/>
    <w:rsid w:val="000C7B81"/>
    <w:rsid w:val="000D24AC"/>
    <w:rsid w:val="000D583D"/>
    <w:rsid w:val="000E0534"/>
    <w:rsid w:val="000E2E6A"/>
    <w:rsid w:val="000E60F4"/>
    <w:rsid w:val="000E6F46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378D"/>
    <w:rsid w:val="00117876"/>
    <w:rsid w:val="00126890"/>
    <w:rsid w:val="00130E31"/>
    <w:rsid w:val="0013218E"/>
    <w:rsid w:val="00132F9F"/>
    <w:rsid w:val="00134354"/>
    <w:rsid w:val="0013533C"/>
    <w:rsid w:val="00136E6B"/>
    <w:rsid w:val="00136F06"/>
    <w:rsid w:val="001414CA"/>
    <w:rsid w:val="00141CBF"/>
    <w:rsid w:val="00141D4E"/>
    <w:rsid w:val="0015072B"/>
    <w:rsid w:val="00151358"/>
    <w:rsid w:val="0015195F"/>
    <w:rsid w:val="00160F70"/>
    <w:rsid w:val="00161A5B"/>
    <w:rsid w:val="00163098"/>
    <w:rsid w:val="00164769"/>
    <w:rsid w:val="00164C92"/>
    <w:rsid w:val="00165173"/>
    <w:rsid w:val="00166972"/>
    <w:rsid w:val="001809A5"/>
    <w:rsid w:val="00184E28"/>
    <w:rsid w:val="00186F2E"/>
    <w:rsid w:val="001923BA"/>
    <w:rsid w:val="00194C3E"/>
    <w:rsid w:val="001A368B"/>
    <w:rsid w:val="001A5D94"/>
    <w:rsid w:val="001C3AEA"/>
    <w:rsid w:val="001D2096"/>
    <w:rsid w:val="001D5CDF"/>
    <w:rsid w:val="001D5FDF"/>
    <w:rsid w:val="001D616E"/>
    <w:rsid w:val="001E5021"/>
    <w:rsid w:val="001E73E4"/>
    <w:rsid w:val="001F151F"/>
    <w:rsid w:val="001F2221"/>
    <w:rsid w:val="001F5549"/>
    <w:rsid w:val="001F7A51"/>
    <w:rsid w:val="00202ACE"/>
    <w:rsid w:val="00203808"/>
    <w:rsid w:val="00204DEA"/>
    <w:rsid w:val="00205B3B"/>
    <w:rsid w:val="00207E8F"/>
    <w:rsid w:val="00214702"/>
    <w:rsid w:val="00220BD5"/>
    <w:rsid w:val="0022336E"/>
    <w:rsid w:val="00226700"/>
    <w:rsid w:val="002268DC"/>
    <w:rsid w:val="002319FE"/>
    <w:rsid w:val="00240744"/>
    <w:rsid w:val="00240A3E"/>
    <w:rsid w:val="00241F77"/>
    <w:rsid w:val="002423B9"/>
    <w:rsid w:val="00242D59"/>
    <w:rsid w:val="002432A6"/>
    <w:rsid w:val="00246AC6"/>
    <w:rsid w:val="00246EA7"/>
    <w:rsid w:val="00251F2D"/>
    <w:rsid w:val="00252E67"/>
    <w:rsid w:val="00256CE0"/>
    <w:rsid w:val="00257A97"/>
    <w:rsid w:val="00264BE1"/>
    <w:rsid w:val="002663F8"/>
    <w:rsid w:val="00273509"/>
    <w:rsid w:val="00273F40"/>
    <w:rsid w:val="0027472D"/>
    <w:rsid w:val="002840F8"/>
    <w:rsid w:val="00290726"/>
    <w:rsid w:val="002A07A7"/>
    <w:rsid w:val="002A2A66"/>
    <w:rsid w:val="002A467B"/>
    <w:rsid w:val="002A49E5"/>
    <w:rsid w:val="002A5BF2"/>
    <w:rsid w:val="002B0025"/>
    <w:rsid w:val="002B5713"/>
    <w:rsid w:val="002B5A29"/>
    <w:rsid w:val="002B6552"/>
    <w:rsid w:val="002C198D"/>
    <w:rsid w:val="002C2291"/>
    <w:rsid w:val="002C3571"/>
    <w:rsid w:val="002C6946"/>
    <w:rsid w:val="002D1CAC"/>
    <w:rsid w:val="002D384F"/>
    <w:rsid w:val="002E176D"/>
    <w:rsid w:val="002E69F5"/>
    <w:rsid w:val="002F51FE"/>
    <w:rsid w:val="0030171C"/>
    <w:rsid w:val="0030172A"/>
    <w:rsid w:val="00301FC8"/>
    <w:rsid w:val="0031345D"/>
    <w:rsid w:val="00316508"/>
    <w:rsid w:val="00317D1B"/>
    <w:rsid w:val="00321018"/>
    <w:rsid w:val="00323972"/>
    <w:rsid w:val="0032483E"/>
    <w:rsid w:val="00324E46"/>
    <w:rsid w:val="00324FFD"/>
    <w:rsid w:val="00325D4B"/>
    <w:rsid w:val="00325FFC"/>
    <w:rsid w:val="00330598"/>
    <w:rsid w:val="00331547"/>
    <w:rsid w:val="00332394"/>
    <w:rsid w:val="00333420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17E7"/>
    <w:rsid w:val="003631A1"/>
    <w:rsid w:val="0037006F"/>
    <w:rsid w:val="00370111"/>
    <w:rsid w:val="003739D6"/>
    <w:rsid w:val="00374603"/>
    <w:rsid w:val="00375165"/>
    <w:rsid w:val="00381929"/>
    <w:rsid w:val="00383A47"/>
    <w:rsid w:val="00387938"/>
    <w:rsid w:val="00390163"/>
    <w:rsid w:val="00392CED"/>
    <w:rsid w:val="00397B6D"/>
    <w:rsid w:val="003A37D1"/>
    <w:rsid w:val="003A7A2B"/>
    <w:rsid w:val="003B1A09"/>
    <w:rsid w:val="003B2AB7"/>
    <w:rsid w:val="003B47BF"/>
    <w:rsid w:val="003B4BE1"/>
    <w:rsid w:val="003B723A"/>
    <w:rsid w:val="003C3E46"/>
    <w:rsid w:val="003C45F6"/>
    <w:rsid w:val="003C5EB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56E3"/>
    <w:rsid w:val="00406B88"/>
    <w:rsid w:val="004136CC"/>
    <w:rsid w:val="00414C51"/>
    <w:rsid w:val="00417F33"/>
    <w:rsid w:val="00420BA5"/>
    <w:rsid w:val="00421FDA"/>
    <w:rsid w:val="004236FB"/>
    <w:rsid w:val="004247C1"/>
    <w:rsid w:val="00426D50"/>
    <w:rsid w:val="00437B62"/>
    <w:rsid w:val="00440407"/>
    <w:rsid w:val="004418DF"/>
    <w:rsid w:val="00441FA1"/>
    <w:rsid w:val="0044231E"/>
    <w:rsid w:val="004423F6"/>
    <w:rsid w:val="00444EFA"/>
    <w:rsid w:val="00446AF4"/>
    <w:rsid w:val="00453149"/>
    <w:rsid w:val="004540D2"/>
    <w:rsid w:val="004557FE"/>
    <w:rsid w:val="00461ACF"/>
    <w:rsid w:val="004751B4"/>
    <w:rsid w:val="004757A5"/>
    <w:rsid w:val="004818D1"/>
    <w:rsid w:val="00483ABA"/>
    <w:rsid w:val="00491CAB"/>
    <w:rsid w:val="00492152"/>
    <w:rsid w:val="00492F24"/>
    <w:rsid w:val="00496690"/>
    <w:rsid w:val="0049670B"/>
    <w:rsid w:val="004A3CDD"/>
    <w:rsid w:val="004A41F7"/>
    <w:rsid w:val="004A50B3"/>
    <w:rsid w:val="004B0EED"/>
    <w:rsid w:val="004B6F30"/>
    <w:rsid w:val="004C089D"/>
    <w:rsid w:val="004C2768"/>
    <w:rsid w:val="004C3F5F"/>
    <w:rsid w:val="004C5636"/>
    <w:rsid w:val="004C57B5"/>
    <w:rsid w:val="004D02D2"/>
    <w:rsid w:val="004D2171"/>
    <w:rsid w:val="004D6F8F"/>
    <w:rsid w:val="004E1534"/>
    <w:rsid w:val="004E65AE"/>
    <w:rsid w:val="004F09DE"/>
    <w:rsid w:val="004F3E85"/>
    <w:rsid w:val="004F5E93"/>
    <w:rsid w:val="004F73B6"/>
    <w:rsid w:val="005155B6"/>
    <w:rsid w:val="00516106"/>
    <w:rsid w:val="0052135F"/>
    <w:rsid w:val="00525A64"/>
    <w:rsid w:val="00530AB7"/>
    <w:rsid w:val="0053337D"/>
    <w:rsid w:val="005337E0"/>
    <w:rsid w:val="00544401"/>
    <w:rsid w:val="0055081E"/>
    <w:rsid w:val="005571DF"/>
    <w:rsid w:val="00560A33"/>
    <w:rsid w:val="00561811"/>
    <w:rsid w:val="00564211"/>
    <w:rsid w:val="00565219"/>
    <w:rsid w:val="005660BD"/>
    <w:rsid w:val="0056670B"/>
    <w:rsid w:val="00580E6A"/>
    <w:rsid w:val="005826E8"/>
    <w:rsid w:val="005871EB"/>
    <w:rsid w:val="005904C3"/>
    <w:rsid w:val="005A0824"/>
    <w:rsid w:val="005A0F2C"/>
    <w:rsid w:val="005A5754"/>
    <w:rsid w:val="005B1743"/>
    <w:rsid w:val="005B2C45"/>
    <w:rsid w:val="005B3E6E"/>
    <w:rsid w:val="005B4690"/>
    <w:rsid w:val="005B6A77"/>
    <w:rsid w:val="005C1E55"/>
    <w:rsid w:val="005C25A2"/>
    <w:rsid w:val="005C53AC"/>
    <w:rsid w:val="005E29EF"/>
    <w:rsid w:val="005E4C5F"/>
    <w:rsid w:val="005E6389"/>
    <w:rsid w:val="005E7288"/>
    <w:rsid w:val="005E7390"/>
    <w:rsid w:val="005F0BFA"/>
    <w:rsid w:val="006000EF"/>
    <w:rsid w:val="00605BC7"/>
    <w:rsid w:val="0061038A"/>
    <w:rsid w:val="00612276"/>
    <w:rsid w:val="0061270E"/>
    <w:rsid w:val="006134D7"/>
    <w:rsid w:val="00617133"/>
    <w:rsid w:val="00622568"/>
    <w:rsid w:val="00624C28"/>
    <w:rsid w:val="00627667"/>
    <w:rsid w:val="00634A5B"/>
    <w:rsid w:val="00637FA0"/>
    <w:rsid w:val="00641BBE"/>
    <w:rsid w:val="00642BFB"/>
    <w:rsid w:val="0064385F"/>
    <w:rsid w:val="00656C97"/>
    <w:rsid w:val="006606CC"/>
    <w:rsid w:val="00662697"/>
    <w:rsid w:val="00666DF4"/>
    <w:rsid w:val="00667F05"/>
    <w:rsid w:val="006720CC"/>
    <w:rsid w:val="006764CB"/>
    <w:rsid w:val="006771B0"/>
    <w:rsid w:val="006774EF"/>
    <w:rsid w:val="0068347B"/>
    <w:rsid w:val="00687041"/>
    <w:rsid w:val="00687604"/>
    <w:rsid w:val="00691497"/>
    <w:rsid w:val="00692A62"/>
    <w:rsid w:val="00695350"/>
    <w:rsid w:val="006958A5"/>
    <w:rsid w:val="006A0503"/>
    <w:rsid w:val="006A102B"/>
    <w:rsid w:val="006A3CB1"/>
    <w:rsid w:val="006A52D8"/>
    <w:rsid w:val="006A74E2"/>
    <w:rsid w:val="006B5759"/>
    <w:rsid w:val="006B6925"/>
    <w:rsid w:val="006C00BF"/>
    <w:rsid w:val="006C2CA0"/>
    <w:rsid w:val="006C3B0E"/>
    <w:rsid w:val="006C6070"/>
    <w:rsid w:val="006D759A"/>
    <w:rsid w:val="006D79C2"/>
    <w:rsid w:val="00700025"/>
    <w:rsid w:val="007010D5"/>
    <w:rsid w:val="007076F9"/>
    <w:rsid w:val="00715F4F"/>
    <w:rsid w:val="00721027"/>
    <w:rsid w:val="00722904"/>
    <w:rsid w:val="00722BFF"/>
    <w:rsid w:val="00723778"/>
    <w:rsid w:val="00726963"/>
    <w:rsid w:val="00726EFA"/>
    <w:rsid w:val="00727C8C"/>
    <w:rsid w:val="00733761"/>
    <w:rsid w:val="00735B36"/>
    <w:rsid w:val="007371FC"/>
    <w:rsid w:val="00740B03"/>
    <w:rsid w:val="0074443E"/>
    <w:rsid w:val="007521C4"/>
    <w:rsid w:val="007566FF"/>
    <w:rsid w:val="0076532C"/>
    <w:rsid w:val="00765972"/>
    <w:rsid w:val="00767EA9"/>
    <w:rsid w:val="007716AC"/>
    <w:rsid w:val="00772125"/>
    <w:rsid w:val="007734F3"/>
    <w:rsid w:val="00781404"/>
    <w:rsid w:val="00786F3B"/>
    <w:rsid w:val="00787891"/>
    <w:rsid w:val="00791C1C"/>
    <w:rsid w:val="007939DE"/>
    <w:rsid w:val="00794C7E"/>
    <w:rsid w:val="00796D66"/>
    <w:rsid w:val="00797F14"/>
    <w:rsid w:val="007A0EEA"/>
    <w:rsid w:val="007A2008"/>
    <w:rsid w:val="007A2A86"/>
    <w:rsid w:val="007A3AF1"/>
    <w:rsid w:val="007A49FB"/>
    <w:rsid w:val="007A5D52"/>
    <w:rsid w:val="007B21BC"/>
    <w:rsid w:val="007B4004"/>
    <w:rsid w:val="007B44DA"/>
    <w:rsid w:val="007C19D9"/>
    <w:rsid w:val="007C33D1"/>
    <w:rsid w:val="007C5C6D"/>
    <w:rsid w:val="007C61AD"/>
    <w:rsid w:val="007D2EB6"/>
    <w:rsid w:val="007D4316"/>
    <w:rsid w:val="007D6605"/>
    <w:rsid w:val="007F0ABA"/>
    <w:rsid w:val="007F693F"/>
    <w:rsid w:val="00801C2F"/>
    <w:rsid w:val="0080796B"/>
    <w:rsid w:val="008129A7"/>
    <w:rsid w:val="00821405"/>
    <w:rsid w:val="0083035C"/>
    <w:rsid w:val="008342F1"/>
    <w:rsid w:val="0083445D"/>
    <w:rsid w:val="0083670F"/>
    <w:rsid w:val="008367E9"/>
    <w:rsid w:val="00837BB9"/>
    <w:rsid w:val="008411CA"/>
    <w:rsid w:val="0084325B"/>
    <w:rsid w:val="0084419D"/>
    <w:rsid w:val="00844290"/>
    <w:rsid w:val="00851216"/>
    <w:rsid w:val="0085435C"/>
    <w:rsid w:val="00864A59"/>
    <w:rsid w:val="00865073"/>
    <w:rsid w:val="00871D4B"/>
    <w:rsid w:val="00872764"/>
    <w:rsid w:val="008736BD"/>
    <w:rsid w:val="00875636"/>
    <w:rsid w:val="00880B6B"/>
    <w:rsid w:val="008819A7"/>
    <w:rsid w:val="00886A4D"/>
    <w:rsid w:val="00890F17"/>
    <w:rsid w:val="008964C4"/>
    <w:rsid w:val="0089687E"/>
    <w:rsid w:val="008A6AA0"/>
    <w:rsid w:val="008B0786"/>
    <w:rsid w:val="008B2E02"/>
    <w:rsid w:val="008B4138"/>
    <w:rsid w:val="008B42F2"/>
    <w:rsid w:val="008B7D75"/>
    <w:rsid w:val="008C75FD"/>
    <w:rsid w:val="008D124D"/>
    <w:rsid w:val="008E09A7"/>
    <w:rsid w:val="008E5D58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F10"/>
    <w:rsid w:val="00915D18"/>
    <w:rsid w:val="0092361E"/>
    <w:rsid w:val="0092408F"/>
    <w:rsid w:val="009266CF"/>
    <w:rsid w:val="0093044F"/>
    <w:rsid w:val="0093198A"/>
    <w:rsid w:val="009348D7"/>
    <w:rsid w:val="009366FC"/>
    <w:rsid w:val="00940580"/>
    <w:rsid w:val="00943B3E"/>
    <w:rsid w:val="00944628"/>
    <w:rsid w:val="0094503F"/>
    <w:rsid w:val="009514A8"/>
    <w:rsid w:val="00951C1C"/>
    <w:rsid w:val="0095211F"/>
    <w:rsid w:val="009528DF"/>
    <w:rsid w:val="00953BA9"/>
    <w:rsid w:val="00957260"/>
    <w:rsid w:val="009577CB"/>
    <w:rsid w:val="00960303"/>
    <w:rsid w:val="0096267B"/>
    <w:rsid w:val="00963AFB"/>
    <w:rsid w:val="00965E6C"/>
    <w:rsid w:val="00974F1B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C57C9"/>
    <w:rsid w:val="009C7578"/>
    <w:rsid w:val="009D30C1"/>
    <w:rsid w:val="009D5B9A"/>
    <w:rsid w:val="009E1FC6"/>
    <w:rsid w:val="009E552C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7662"/>
    <w:rsid w:val="00A30016"/>
    <w:rsid w:val="00A366DD"/>
    <w:rsid w:val="00A456BF"/>
    <w:rsid w:val="00A52B66"/>
    <w:rsid w:val="00A5324B"/>
    <w:rsid w:val="00A53B78"/>
    <w:rsid w:val="00A55804"/>
    <w:rsid w:val="00A5783D"/>
    <w:rsid w:val="00A60FC6"/>
    <w:rsid w:val="00A618A9"/>
    <w:rsid w:val="00A644CB"/>
    <w:rsid w:val="00A65629"/>
    <w:rsid w:val="00A667AF"/>
    <w:rsid w:val="00A7160F"/>
    <w:rsid w:val="00A7404A"/>
    <w:rsid w:val="00A747DB"/>
    <w:rsid w:val="00A760B8"/>
    <w:rsid w:val="00A76891"/>
    <w:rsid w:val="00A76930"/>
    <w:rsid w:val="00A83203"/>
    <w:rsid w:val="00A849BA"/>
    <w:rsid w:val="00A85EED"/>
    <w:rsid w:val="00A875F0"/>
    <w:rsid w:val="00A87BC0"/>
    <w:rsid w:val="00A91B28"/>
    <w:rsid w:val="00A9597B"/>
    <w:rsid w:val="00AA2B5E"/>
    <w:rsid w:val="00AA34EF"/>
    <w:rsid w:val="00AB1DE7"/>
    <w:rsid w:val="00AC0E9B"/>
    <w:rsid w:val="00AC7D76"/>
    <w:rsid w:val="00AD091D"/>
    <w:rsid w:val="00AD3808"/>
    <w:rsid w:val="00AD5E7F"/>
    <w:rsid w:val="00AE4264"/>
    <w:rsid w:val="00AF0EA9"/>
    <w:rsid w:val="00B044D1"/>
    <w:rsid w:val="00B06E95"/>
    <w:rsid w:val="00B07235"/>
    <w:rsid w:val="00B12667"/>
    <w:rsid w:val="00B12956"/>
    <w:rsid w:val="00B21870"/>
    <w:rsid w:val="00B227DE"/>
    <w:rsid w:val="00B24C94"/>
    <w:rsid w:val="00B3032E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5272"/>
    <w:rsid w:val="00B75EEC"/>
    <w:rsid w:val="00B800A5"/>
    <w:rsid w:val="00B87FCB"/>
    <w:rsid w:val="00B93C94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6FF1"/>
    <w:rsid w:val="00BD491C"/>
    <w:rsid w:val="00BD4F89"/>
    <w:rsid w:val="00BD6EEC"/>
    <w:rsid w:val="00BE061A"/>
    <w:rsid w:val="00BE0B82"/>
    <w:rsid w:val="00BE1FBD"/>
    <w:rsid w:val="00BE7E97"/>
    <w:rsid w:val="00BF14E5"/>
    <w:rsid w:val="00BF3053"/>
    <w:rsid w:val="00BF5534"/>
    <w:rsid w:val="00C06F83"/>
    <w:rsid w:val="00C072BF"/>
    <w:rsid w:val="00C134B2"/>
    <w:rsid w:val="00C13542"/>
    <w:rsid w:val="00C14CD3"/>
    <w:rsid w:val="00C16716"/>
    <w:rsid w:val="00C1684D"/>
    <w:rsid w:val="00C23801"/>
    <w:rsid w:val="00C3146B"/>
    <w:rsid w:val="00C34915"/>
    <w:rsid w:val="00C35F0B"/>
    <w:rsid w:val="00C37066"/>
    <w:rsid w:val="00C43029"/>
    <w:rsid w:val="00C4456F"/>
    <w:rsid w:val="00C50099"/>
    <w:rsid w:val="00C542D0"/>
    <w:rsid w:val="00C551DB"/>
    <w:rsid w:val="00C57A38"/>
    <w:rsid w:val="00C602D1"/>
    <w:rsid w:val="00C70C60"/>
    <w:rsid w:val="00C80861"/>
    <w:rsid w:val="00C84114"/>
    <w:rsid w:val="00C90296"/>
    <w:rsid w:val="00C9325D"/>
    <w:rsid w:val="00C9631A"/>
    <w:rsid w:val="00C96F1F"/>
    <w:rsid w:val="00CA08FA"/>
    <w:rsid w:val="00CA27EF"/>
    <w:rsid w:val="00CA28E3"/>
    <w:rsid w:val="00CA6F80"/>
    <w:rsid w:val="00CB11FC"/>
    <w:rsid w:val="00CD3298"/>
    <w:rsid w:val="00CE2333"/>
    <w:rsid w:val="00CE5F71"/>
    <w:rsid w:val="00CE5FB9"/>
    <w:rsid w:val="00CE63E1"/>
    <w:rsid w:val="00CF0DC3"/>
    <w:rsid w:val="00CF1337"/>
    <w:rsid w:val="00CF1BC1"/>
    <w:rsid w:val="00CF40B4"/>
    <w:rsid w:val="00D01CF7"/>
    <w:rsid w:val="00D06208"/>
    <w:rsid w:val="00D12F56"/>
    <w:rsid w:val="00D13716"/>
    <w:rsid w:val="00D14D52"/>
    <w:rsid w:val="00D15898"/>
    <w:rsid w:val="00D162B9"/>
    <w:rsid w:val="00D20F86"/>
    <w:rsid w:val="00D235F2"/>
    <w:rsid w:val="00D253AA"/>
    <w:rsid w:val="00D27217"/>
    <w:rsid w:val="00D30352"/>
    <w:rsid w:val="00D32545"/>
    <w:rsid w:val="00D350EC"/>
    <w:rsid w:val="00D355B6"/>
    <w:rsid w:val="00D35789"/>
    <w:rsid w:val="00D36E5C"/>
    <w:rsid w:val="00D370CF"/>
    <w:rsid w:val="00D37276"/>
    <w:rsid w:val="00D4171B"/>
    <w:rsid w:val="00D42E8B"/>
    <w:rsid w:val="00D464B7"/>
    <w:rsid w:val="00D46E68"/>
    <w:rsid w:val="00D50F26"/>
    <w:rsid w:val="00D51032"/>
    <w:rsid w:val="00D51C76"/>
    <w:rsid w:val="00D52138"/>
    <w:rsid w:val="00D54CD3"/>
    <w:rsid w:val="00D5534F"/>
    <w:rsid w:val="00D7452D"/>
    <w:rsid w:val="00D760C4"/>
    <w:rsid w:val="00D84080"/>
    <w:rsid w:val="00D85587"/>
    <w:rsid w:val="00D93B4D"/>
    <w:rsid w:val="00D94C62"/>
    <w:rsid w:val="00D97153"/>
    <w:rsid w:val="00DA4A4C"/>
    <w:rsid w:val="00DB2F12"/>
    <w:rsid w:val="00DB6EB2"/>
    <w:rsid w:val="00DC0068"/>
    <w:rsid w:val="00DC2BB2"/>
    <w:rsid w:val="00DC4EFE"/>
    <w:rsid w:val="00DC52BD"/>
    <w:rsid w:val="00DC5307"/>
    <w:rsid w:val="00DC73D7"/>
    <w:rsid w:val="00DD42D5"/>
    <w:rsid w:val="00DD5D83"/>
    <w:rsid w:val="00DD5F31"/>
    <w:rsid w:val="00DE0F57"/>
    <w:rsid w:val="00DE295C"/>
    <w:rsid w:val="00DE5F89"/>
    <w:rsid w:val="00DF253C"/>
    <w:rsid w:val="00DF4E70"/>
    <w:rsid w:val="00E00945"/>
    <w:rsid w:val="00E04F2E"/>
    <w:rsid w:val="00E0625A"/>
    <w:rsid w:val="00E07956"/>
    <w:rsid w:val="00E07A9B"/>
    <w:rsid w:val="00E07F4D"/>
    <w:rsid w:val="00E16379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C6"/>
    <w:rsid w:val="00E43048"/>
    <w:rsid w:val="00E51958"/>
    <w:rsid w:val="00E541F3"/>
    <w:rsid w:val="00E57E51"/>
    <w:rsid w:val="00E6062B"/>
    <w:rsid w:val="00E7799D"/>
    <w:rsid w:val="00E80B5C"/>
    <w:rsid w:val="00E85988"/>
    <w:rsid w:val="00E85EF2"/>
    <w:rsid w:val="00E864E8"/>
    <w:rsid w:val="00E9580F"/>
    <w:rsid w:val="00E96634"/>
    <w:rsid w:val="00E97D28"/>
    <w:rsid w:val="00EA2AB0"/>
    <w:rsid w:val="00EA2C11"/>
    <w:rsid w:val="00EA57E9"/>
    <w:rsid w:val="00EA7F7D"/>
    <w:rsid w:val="00EB0D61"/>
    <w:rsid w:val="00EB5564"/>
    <w:rsid w:val="00EB5EED"/>
    <w:rsid w:val="00EB662A"/>
    <w:rsid w:val="00EC1694"/>
    <w:rsid w:val="00EC3516"/>
    <w:rsid w:val="00EC3C7E"/>
    <w:rsid w:val="00ED0E4C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7EFF"/>
    <w:rsid w:val="00F00B8F"/>
    <w:rsid w:val="00F00D61"/>
    <w:rsid w:val="00F03E1E"/>
    <w:rsid w:val="00F14A2C"/>
    <w:rsid w:val="00F15121"/>
    <w:rsid w:val="00F166FD"/>
    <w:rsid w:val="00F16BC5"/>
    <w:rsid w:val="00F32948"/>
    <w:rsid w:val="00F32A5A"/>
    <w:rsid w:val="00F411EE"/>
    <w:rsid w:val="00F42142"/>
    <w:rsid w:val="00F44608"/>
    <w:rsid w:val="00F4571C"/>
    <w:rsid w:val="00F53DEC"/>
    <w:rsid w:val="00F552D3"/>
    <w:rsid w:val="00F55454"/>
    <w:rsid w:val="00F5585C"/>
    <w:rsid w:val="00F5622F"/>
    <w:rsid w:val="00F657FA"/>
    <w:rsid w:val="00F665EC"/>
    <w:rsid w:val="00F71794"/>
    <w:rsid w:val="00F733D0"/>
    <w:rsid w:val="00F7533B"/>
    <w:rsid w:val="00F80BFA"/>
    <w:rsid w:val="00F80C5A"/>
    <w:rsid w:val="00F90E63"/>
    <w:rsid w:val="00F910EF"/>
    <w:rsid w:val="00F9145D"/>
    <w:rsid w:val="00F958CF"/>
    <w:rsid w:val="00F979C7"/>
    <w:rsid w:val="00F97C1B"/>
    <w:rsid w:val="00FA4981"/>
    <w:rsid w:val="00FA5C7E"/>
    <w:rsid w:val="00FB069F"/>
    <w:rsid w:val="00FB315F"/>
    <w:rsid w:val="00FB32C5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E013C"/>
    <w:rsid w:val="00FE34A2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9F500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E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935&amp;dst=100003%2C1&amp;date=29.10.2021" TargetMode="External"/><Relationship Id="rId13" Type="http://schemas.openxmlformats.org/officeDocument/2006/relationships/hyperlink" Target="consultantplus://offline/ref=5BB54CFF59BCBB21AE286D9FE23CE2B78A24FFC2BEEBEE36E750BB789BE7EA006FC0A307B42C256A659391F8DB84EBBB2295A8D9201ED7lB4D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01C7C890B583E131E9B47873A083CDCC4D481F5F4071745062AFA4999D3EBF50398C527EAF9E469B803896A201E845E44BD26396405933DH4H" TargetMode="External"/><Relationship Id="rId12" Type="http://schemas.openxmlformats.org/officeDocument/2006/relationships/hyperlink" Target="https://login.consultant.ru/link/?req=doc&amp;base=LAW&amp;n=398656&amp;dst=100003&amp;date=29.10.20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ASK&amp;n=171655&amp;dst=1000000001&amp;date=29.10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F58CA216CDF5074B787785EE56F9E5BE7763002D8C19A0C3C29E2C9494D7DB387C9913FAE72CEE8944C9EC5BF50F50B327334201B5AFE812B7150F3E1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97C7E96AE4DCAC9DABD5830E3B6BF5ED8EFC75435D0321C69D19E0BBD6CFD2E5E8986C528075D85BE941605A66C57B83456470BA9C7838HBA4L" TargetMode="External"/><Relationship Id="rId10" Type="http://schemas.openxmlformats.org/officeDocument/2006/relationships/hyperlink" Target="https://login.consultant.ru/link/?req=doc&amp;base=LAW&amp;n=398736&amp;dst=100005&amp;date=29.10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76ADDB70214EA3EA9735385E9EA12ED7A39CCCD3D0173F6817430543724EA30694F6D0922D8F029B9D32647DD34944FD0B3588C4F813E806y7K" TargetMode="External"/><Relationship Id="rId14" Type="http://schemas.openxmlformats.org/officeDocument/2006/relationships/hyperlink" Target="https://login.consultant.ru/link/?req=doc&amp;base=LAW&amp;n=73171&amp;dst=100003&amp;date=29.10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7</cp:revision>
  <dcterms:created xsi:type="dcterms:W3CDTF">2021-10-25T05:35:00Z</dcterms:created>
  <dcterms:modified xsi:type="dcterms:W3CDTF">2021-10-29T13:49:00Z</dcterms:modified>
</cp:coreProperties>
</file>