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8E" w:rsidRDefault="007A1CBB" w:rsidP="007E6A46">
      <w:pPr>
        <w:spacing w:after="0"/>
        <w:ind w:firstLine="284"/>
        <w:rPr>
          <w:rFonts w:eastAsia="Times New Roman" w:cs="Times New Roman"/>
          <w:i/>
          <w:iCs/>
          <w:sz w:val="28"/>
          <w:szCs w:val="32"/>
          <w:lang w:eastAsia="ru-RU"/>
        </w:rPr>
      </w:pPr>
      <w:r>
        <w:rPr>
          <w:noProof/>
        </w:rPr>
        <mc:AlternateContent>
          <mc:Choice Requires="wps">
            <w:drawing>
              <wp:anchor distT="45720" distB="45720" distL="114300" distR="114300" simplePos="0" relativeHeight="251660288" behindDoc="0" locked="0" layoutInCell="1" allowOverlap="1">
                <wp:simplePos x="0" y="0"/>
                <wp:positionH relativeFrom="page">
                  <wp:posOffset>6000750</wp:posOffset>
                </wp:positionH>
                <wp:positionV relativeFrom="paragraph">
                  <wp:posOffset>885825</wp:posOffset>
                </wp:positionV>
                <wp:extent cx="1514475" cy="304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noFill/>
                        <a:ln w="9525">
                          <a:noFill/>
                          <a:miter lim="800000"/>
                          <a:headEnd/>
                          <a:tailEnd/>
                        </a:ln>
                      </wps:spPr>
                      <wps:txbx>
                        <w:txbxContent>
                          <w:p w:rsidR="007A1CBB" w:rsidRPr="007A1CBB" w:rsidRDefault="0099689B" w:rsidP="007A1CBB">
                            <w:pPr>
                              <w:rPr>
                                <w:rFonts w:ascii="Arial" w:hAnsi="Arial" w:cs="Arial"/>
                                <w:color w:val="FFFFFF" w:themeColor="background1"/>
                                <w:sz w:val="32"/>
                                <w:szCs w:val="32"/>
                              </w:rPr>
                            </w:pPr>
                            <w:r>
                              <w:rPr>
                                <w:rFonts w:ascii="Arial" w:hAnsi="Arial" w:cs="Arial"/>
                                <w:color w:val="FFFFFF" w:themeColor="background1"/>
                                <w:sz w:val="32"/>
                                <w:szCs w:val="32"/>
                              </w:rPr>
                              <w:t>СЕНТЯБРЬ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72.5pt;margin-top:69.75pt;width:119.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" filled="f" stroked="f">
                <v:textbox>
                  <w:txbxContent>
                    <w:p w:rsidR="007A1CBB" w:rsidRPr="007A1CBB" w:rsidRDefault="0099689B" w:rsidP="007A1CBB">
                      <w:pPr>
                        <w:rPr>
                          <w:rFonts w:ascii="Arial" w:hAnsi="Arial" w:cs="Arial"/>
                          <w:color w:val="FFFFFF" w:themeColor="background1"/>
                          <w:sz w:val="32"/>
                          <w:szCs w:val="32"/>
                        </w:rPr>
                      </w:pPr>
                      <w:r>
                        <w:rPr>
                          <w:rFonts w:ascii="Arial" w:hAnsi="Arial" w:cs="Arial"/>
                          <w:color w:val="FFFFFF" w:themeColor="background1"/>
                          <w:sz w:val="32"/>
                          <w:szCs w:val="32"/>
                        </w:rPr>
                        <w:t>СЕНТЯБРЬ</w:t>
                      </w:r>
                    </w:p>
                  </w:txbxContent>
                </v:textbox>
                <w10:wrap type="square" anchorx="page"/>
              </v:shap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0</wp:posOffset>
            </wp:positionV>
            <wp:extent cx="7622540" cy="1181100"/>
            <wp:effectExtent l="0" t="0" r="0" b="0"/>
            <wp:wrapTight wrapText="bothSides">
              <wp:wrapPolygon edited="0">
                <wp:start x="0" y="0"/>
                <wp:lineTo x="0" y="21252"/>
                <wp:lineTo x="21539" y="21252"/>
                <wp:lineTo x="2153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254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CB" w:rsidRPr="00510AFC">
        <w:rPr>
          <w:rFonts w:eastAsia="Times New Roman" w:cs="Times New Roman"/>
          <w:i/>
          <w:iCs/>
          <w:sz w:val="28"/>
          <w:szCs w:val="32"/>
          <w:lang w:eastAsia="ru-RU"/>
        </w:rPr>
        <w:t>Законодательство</w:t>
      </w:r>
    </w:p>
    <w:p w:rsidR="003F7E11" w:rsidRPr="003F7E11" w:rsidRDefault="003F7E11" w:rsidP="007E6A46">
      <w:pPr>
        <w:spacing w:after="0"/>
        <w:ind w:firstLine="284"/>
        <w:rPr>
          <w:rFonts w:eastAsia="Times New Roman" w:cs="Times New Roman"/>
          <w:i/>
          <w:iCs/>
          <w:sz w:val="20"/>
          <w:lang w:eastAsia="ru-RU"/>
        </w:rPr>
      </w:pPr>
    </w:p>
    <w:p w:rsidR="00645DCC" w:rsidRDefault="0099689B" w:rsidP="00171CCB">
      <w:pPr>
        <w:spacing w:after="0"/>
        <w:ind w:left="284"/>
        <w:jc w:val="both"/>
        <w:rPr>
          <w:rFonts w:ascii="Calibri" w:hAnsi="Calibri" w:cs="Calibri"/>
          <w:b/>
          <w:bCs/>
          <w:sz w:val="20"/>
          <w:szCs w:val="20"/>
        </w:rPr>
      </w:pPr>
      <w:r w:rsidRPr="0099689B">
        <w:rPr>
          <w:rFonts w:ascii="Calibri" w:hAnsi="Calibri" w:cs="Calibri"/>
          <w:b/>
          <w:bCs/>
          <w:sz w:val="20"/>
          <w:szCs w:val="20"/>
        </w:rPr>
        <w:t>Правительство опубликовало постановление о моратории на плановые проверки малого бизнеса в 2022 году</w:t>
      </w:r>
    </w:p>
    <w:p w:rsidR="0099689B" w:rsidRPr="0099689B" w:rsidRDefault="0099689B" w:rsidP="0099689B">
      <w:pPr>
        <w:spacing w:after="0"/>
        <w:ind w:left="284"/>
        <w:jc w:val="both"/>
        <w:rPr>
          <w:rFonts w:ascii="Calibri" w:hAnsi="Calibri" w:cs="Calibri"/>
          <w:sz w:val="20"/>
          <w:szCs w:val="20"/>
        </w:rPr>
      </w:pPr>
      <w:r w:rsidRPr="0099689B">
        <w:rPr>
          <w:rFonts w:ascii="Calibri" w:hAnsi="Calibri" w:cs="Calibri"/>
          <w:sz w:val="20"/>
          <w:szCs w:val="20"/>
        </w:rPr>
        <w:t xml:space="preserve">В отношении субъектов малого предпринимательства в новом году не будут проводить плановые контрольные (надзорные) мероприятия и проверки. Речь идет о процедурах в рамках госконтроля и надзора по Законам </w:t>
      </w:r>
      <w:r w:rsidR="00251722">
        <w:rPr>
          <w:rFonts w:ascii="Calibri" w:hAnsi="Calibri" w:cs="Calibri"/>
          <w:sz w:val="20"/>
          <w:szCs w:val="20"/>
        </w:rPr>
        <w:t>№ </w:t>
      </w:r>
      <w:r w:rsidRPr="0099689B">
        <w:rPr>
          <w:rFonts w:ascii="Calibri" w:hAnsi="Calibri" w:cs="Calibri"/>
          <w:sz w:val="20"/>
          <w:szCs w:val="20"/>
        </w:rPr>
        <w:t xml:space="preserve">248-ФЗ и </w:t>
      </w:r>
      <w:r w:rsidR="00251722">
        <w:rPr>
          <w:rFonts w:ascii="Calibri" w:hAnsi="Calibri" w:cs="Calibri"/>
          <w:sz w:val="20"/>
          <w:szCs w:val="20"/>
        </w:rPr>
        <w:t>№ </w:t>
      </w:r>
      <w:r w:rsidRPr="0099689B">
        <w:rPr>
          <w:rFonts w:ascii="Calibri" w:hAnsi="Calibri" w:cs="Calibri"/>
          <w:sz w:val="20"/>
          <w:szCs w:val="20"/>
        </w:rPr>
        <w:t>294-ФЗ. Постановление правительства об этой мере поддержки уже вступило в силу.</w:t>
      </w:r>
    </w:p>
    <w:p w:rsidR="0099689B" w:rsidRPr="0099689B" w:rsidRDefault="0099689B" w:rsidP="0099689B">
      <w:pPr>
        <w:spacing w:after="0"/>
        <w:ind w:left="284"/>
        <w:jc w:val="both"/>
        <w:rPr>
          <w:rFonts w:ascii="Calibri" w:hAnsi="Calibri" w:cs="Calibri"/>
          <w:sz w:val="20"/>
          <w:szCs w:val="20"/>
        </w:rPr>
      </w:pPr>
      <w:r w:rsidRPr="0099689B">
        <w:rPr>
          <w:rFonts w:ascii="Calibri" w:hAnsi="Calibri" w:cs="Calibri"/>
          <w:sz w:val="20"/>
          <w:szCs w:val="20"/>
        </w:rPr>
        <w:t>Предусмотрели ряд исключений. Так, послабление не затронет:</w:t>
      </w:r>
    </w:p>
    <w:p w:rsidR="0099689B" w:rsidRPr="0099689B" w:rsidRDefault="00251722" w:rsidP="0099689B">
      <w:pPr>
        <w:spacing w:after="0"/>
        <w:ind w:left="284"/>
        <w:jc w:val="both"/>
        <w:rPr>
          <w:rFonts w:ascii="Calibri" w:hAnsi="Calibri" w:cs="Calibri"/>
          <w:sz w:val="20"/>
          <w:szCs w:val="20"/>
        </w:rPr>
      </w:pPr>
      <w:r>
        <w:rPr>
          <w:bCs/>
          <w:sz w:val="20"/>
          <w:szCs w:val="20"/>
        </w:rPr>
        <w:t>–</w:t>
      </w:r>
      <w:r>
        <w:rPr>
          <w:rFonts w:ascii="Calibri" w:hAnsi="Calibri" w:cs="Calibri"/>
          <w:sz w:val="20"/>
          <w:szCs w:val="20"/>
        </w:rPr>
        <w:t> </w:t>
      </w:r>
      <w:r w:rsidR="0099689B" w:rsidRPr="0099689B">
        <w:rPr>
          <w:rFonts w:ascii="Calibri" w:hAnsi="Calibri" w:cs="Calibri"/>
          <w:sz w:val="20"/>
          <w:szCs w:val="20"/>
        </w:rPr>
        <w:t>компании и ИП, которые используют объекты чрезвычайно высокого или высокого рисков;</w:t>
      </w:r>
    </w:p>
    <w:p w:rsidR="0099689B" w:rsidRPr="0099689B" w:rsidRDefault="00251722" w:rsidP="0099689B">
      <w:pPr>
        <w:spacing w:after="0"/>
        <w:ind w:left="284"/>
        <w:jc w:val="both"/>
        <w:rPr>
          <w:rFonts w:ascii="Calibri" w:hAnsi="Calibri" w:cs="Calibri"/>
          <w:sz w:val="20"/>
          <w:szCs w:val="20"/>
        </w:rPr>
      </w:pPr>
      <w:r>
        <w:rPr>
          <w:bCs/>
          <w:sz w:val="20"/>
          <w:szCs w:val="20"/>
        </w:rPr>
        <w:t>–</w:t>
      </w:r>
      <w:r>
        <w:rPr>
          <w:rFonts w:ascii="Calibri" w:hAnsi="Calibri" w:cs="Calibri"/>
          <w:sz w:val="20"/>
          <w:szCs w:val="20"/>
        </w:rPr>
        <w:t> </w:t>
      </w:r>
      <w:r w:rsidR="0099689B" w:rsidRPr="0099689B">
        <w:rPr>
          <w:rFonts w:ascii="Calibri" w:hAnsi="Calibri" w:cs="Calibri"/>
          <w:sz w:val="20"/>
          <w:szCs w:val="20"/>
        </w:rPr>
        <w:t>лиц, которых по результатам контрольного (надзорного) мероприятия или проверки наказали по КоАП РФ за грубое нарушение, приостановили деятельность или лицензию. При этом с даты окончания мероприятия или проверки прошло менее 3 лет;</w:t>
      </w:r>
    </w:p>
    <w:p w:rsidR="0099689B" w:rsidRPr="0099689B" w:rsidRDefault="00251722" w:rsidP="0099689B">
      <w:pPr>
        <w:spacing w:after="0"/>
        <w:ind w:left="284"/>
        <w:jc w:val="both"/>
        <w:rPr>
          <w:rFonts w:ascii="Calibri" w:hAnsi="Calibri" w:cs="Calibri"/>
          <w:sz w:val="20"/>
          <w:szCs w:val="20"/>
        </w:rPr>
      </w:pPr>
      <w:r>
        <w:rPr>
          <w:bCs/>
          <w:sz w:val="20"/>
          <w:szCs w:val="20"/>
        </w:rPr>
        <w:t>–</w:t>
      </w:r>
      <w:r>
        <w:rPr>
          <w:rFonts w:ascii="Calibri" w:hAnsi="Calibri" w:cs="Calibri"/>
          <w:sz w:val="20"/>
          <w:szCs w:val="20"/>
        </w:rPr>
        <w:t> </w:t>
      </w:r>
      <w:r w:rsidR="0099689B" w:rsidRPr="0099689B">
        <w:rPr>
          <w:rFonts w:ascii="Calibri" w:hAnsi="Calibri" w:cs="Calibri"/>
          <w:sz w:val="20"/>
          <w:szCs w:val="20"/>
        </w:rPr>
        <w:t>лицензиатов в части контроля (надзора) за соблюдением лицензионных требований.</w:t>
      </w:r>
    </w:p>
    <w:p w:rsidR="00642A2E" w:rsidRDefault="0099689B" w:rsidP="0099689B">
      <w:pPr>
        <w:spacing w:after="0"/>
        <w:ind w:left="284"/>
        <w:jc w:val="both"/>
        <w:rPr>
          <w:rFonts w:ascii="Calibri" w:hAnsi="Calibri" w:cs="Calibri"/>
          <w:sz w:val="20"/>
          <w:szCs w:val="20"/>
        </w:rPr>
      </w:pPr>
      <w:r w:rsidRPr="0099689B">
        <w:rPr>
          <w:rFonts w:ascii="Calibri" w:hAnsi="Calibri" w:cs="Calibri"/>
          <w:sz w:val="20"/>
          <w:szCs w:val="20"/>
        </w:rPr>
        <w:t xml:space="preserve">Отметим, аналогичный мораторий действует и сейчас. Однако он не распространяется еще и на тех, кто занимается здравоохранением, образованием и другими видами деятельности из </w:t>
      </w:r>
      <w:proofErr w:type="spellStart"/>
      <w:r w:rsidRPr="0099689B">
        <w:rPr>
          <w:rFonts w:ascii="Calibri" w:hAnsi="Calibri" w:cs="Calibri"/>
          <w:sz w:val="20"/>
          <w:szCs w:val="20"/>
        </w:rPr>
        <w:t>спецперечня</w:t>
      </w:r>
      <w:proofErr w:type="spellEnd"/>
      <w:r w:rsidRPr="0099689B">
        <w:rPr>
          <w:rFonts w:ascii="Calibri" w:hAnsi="Calibri" w:cs="Calibri"/>
          <w:sz w:val="20"/>
          <w:szCs w:val="20"/>
        </w:rPr>
        <w:t>. На 2022 год такое исключение не предусмотрели и тем самым освободили этих представителей малого бизнеса от плановых контрольных (надзорных) мероприятий и проверок.</w:t>
      </w:r>
    </w:p>
    <w:p w:rsidR="00631FF9" w:rsidRPr="002875E2" w:rsidRDefault="0099689B" w:rsidP="00251722">
      <w:pPr>
        <w:spacing w:after="0"/>
        <w:ind w:left="1701"/>
        <w:jc w:val="both"/>
        <w:rPr>
          <w:rFonts w:ascii="Calibri" w:hAnsi="Calibri" w:cs="Calibri"/>
          <w:i/>
          <w:iCs/>
          <w:sz w:val="20"/>
          <w:szCs w:val="20"/>
          <w:u w:val="single"/>
        </w:rPr>
      </w:pPr>
      <w:r w:rsidRPr="0099689B">
        <w:rPr>
          <w:rFonts w:ascii="Calibri" w:hAnsi="Calibri" w:cs="Calibri"/>
          <w:i/>
          <w:iCs/>
          <w:sz w:val="20"/>
          <w:szCs w:val="20"/>
          <w:u w:val="single"/>
        </w:rPr>
        <w:t xml:space="preserve">Постановление Правительства РФ от 08.09.2021 </w:t>
      </w:r>
      <w:r w:rsidR="00251722">
        <w:rPr>
          <w:rFonts w:ascii="Calibri" w:hAnsi="Calibri" w:cs="Calibri"/>
          <w:i/>
          <w:iCs/>
          <w:sz w:val="20"/>
          <w:szCs w:val="20"/>
          <w:u w:val="single"/>
        </w:rPr>
        <w:t>№</w:t>
      </w:r>
      <w:r w:rsidRPr="0099689B">
        <w:rPr>
          <w:rFonts w:ascii="Calibri" w:hAnsi="Calibri" w:cs="Calibri"/>
          <w:i/>
          <w:iCs/>
          <w:sz w:val="20"/>
          <w:szCs w:val="20"/>
          <w:u w:val="single"/>
        </w:rPr>
        <w:t xml:space="preserve"> 1520</w:t>
      </w:r>
      <w:r w:rsidRPr="00251722">
        <w:rPr>
          <w:rFonts w:ascii="Calibri" w:hAnsi="Calibri" w:cs="Calibri"/>
          <w:i/>
          <w:iCs/>
          <w:sz w:val="20"/>
          <w:szCs w:val="20"/>
        </w:rPr>
        <w:t xml:space="preserve"> </w:t>
      </w:r>
      <w:r w:rsidR="00631FF9" w:rsidRPr="00251722">
        <w:rPr>
          <w:rFonts w:ascii="Calibri" w:hAnsi="Calibri" w:cs="Calibri"/>
          <w:i/>
          <w:iCs/>
          <w:sz w:val="20"/>
          <w:szCs w:val="20"/>
        </w:rPr>
        <w:t>(</w:t>
      </w:r>
      <w:hyperlink r:id="rId7" w:tooltip="Ссылка на КонсультантПлюс" w:history="1">
        <w:r w:rsidR="00631FF9" w:rsidRPr="009E1540">
          <w:rPr>
            <w:rStyle w:val="a7"/>
            <w:i/>
            <w:iCs/>
            <w:sz w:val="20"/>
            <w:szCs w:val="20"/>
            <w:u w:val="none"/>
          </w:rPr>
          <w:t>офлайн</w:t>
        </w:r>
      </w:hyperlink>
      <w:r w:rsidR="00631FF9" w:rsidRPr="00251722">
        <w:rPr>
          <w:rStyle w:val="a7"/>
          <w:color w:val="auto"/>
          <w:sz w:val="20"/>
          <w:szCs w:val="20"/>
          <w:u w:val="none"/>
        </w:rPr>
        <w:t>/</w:t>
      </w:r>
      <w:hyperlink r:id="rId8" w:history="1">
        <w:r w:rsidR="00631FF9" w:rsidRPr="00E47A82">
          <w:rPr>
            <w:rStyle w:val="a7"/>
            <w:i/>
            <w:iCs/>
            <w:sz w:val="20"/>
            <w:szCs w:val="20"/>
            <w:u w:val="none"/>
          </w:rPr>
          <w:t>онлайн</w:t>
        </w:r>
      </w:hyperlink>
      <w:r w:rsidR="00631FF9" w:rsidRPr="00251722">
        <w:rPr>
          <w:i/>
          <w:iCs/>
          <w:sz w:val="20"/>
          <w:szCs w:val="20"/>
        </w:rPr>
        <w:t>)</w:t>
      </w:r>
    </w:p>
    <w:p w:rsidR="004945B2" w:rsidRPr="00E50FA3" w:rsidRDefault="004945B2" w:rsidP="00251722">
      <w:pPr>
        <w:spacing w:after="0"/>
        <w:ind w:left="1701"/>
        <w:jc w:val="both"/>
        <w:rPr>
          <w:rFonts w:ascii="Calibri" w:hAnsi="Calibri" w:cs="Calibri"/>
          <w:bCs/>
          <w:i/>
          <w:iCs/>
          <w:sz w:val="20"/>
          <w:szCs w:val="20"/>
        </w:rPr>
      </w:pPr>
      <w:r w:rsidRPr="00D1478E">
        <w:rPr>
          <w:rFonts w:ascii="Calibri" w:hAnsi="Calibri" w:cs="Calibri"/>
          <w:bCs/>
          <w:i/>
          <w:iCs/>
          <w:sz w:val="20"/>
          <w:szCs w:val="20"/>
        </w:rPr>
        <w:t>Нормативные документы, РЗ, РЗ (Версия Проф), Бюджетные организации</w:t>
      </w:r>
    </w:p>
    <w:p w:rsidR="007D148F" w:rsidRDefault="007D148F" w:rsidP="00A02825">
      <w:pPr>
        <w:spacing w:after="0"/>
        <w:jc w:val="both"/>
        <w:rPr>
          <w:rFonts w:ascii="Calibri" w:hAnsi="Calibri" w:cs="Calibri"/>
          <w:bCs/>
          <w:i/>
          <w:iCs/>
          <w:sz w:val="20"/>
          <w:szCs w:val="20"/>
          <w:u w:val="single"/>
        </w:rPr>
      </w:pPr>
    </w:p>
    <w:p w:rsidR="00071370" w:rsidRDefault="00882278" w:rsidP="00071370">
      <w:pPr>
        <w:spacing w:after="0"/>
        <w:ind w:left="284"/>
        <w:rPr>
          <w:b/>
          <w:bCs/>
          <w:sz w:val="20"/>
          <w:szCs w:val="20"/>
        </w:rPr>
      </w:pPr>
      <w:r w:rsidRPr="00882278">
        <w:rPr>
          <w:b/>
          <w:bCs/>
          <w:sz w:val="20"/>
          <w:szCs w:val="20"/>
        </w:rPr>
        <w:t>С марта нужно будет соблюдать новые правила оснащения старых зданий противопожарными системами</w:t>
      </w:r>
    </w:p>
    <w:p w:rsidR="00882278" w:rsidRPr="00882278" w:rsidRDefault="00882278" w:rsidP="00251722">
      <w:pPr>
        <w:spacing w:after="0"/>
        <w:ind w:left="284"/>
        <w:jc w:val="both"/>
        <w:rPr>
          <w:sz w:val="20"/>
          <w:szCs w:val="20"/>
        </w:rPr>
      </w:pPr>
      <w:r w:rsidRPr="00882278">
        <w:rPr>
          <w:sz w:val="20"/>
          <w:szCs w:val="20"/>
        </w:rPr>
        <w:t>Правительство утвердило требования к оснащению ряда объектов пожарной сигнализацией, автоматическими установками пожаротушения, системой оповещения и управления эвакуацией людей при пожаре. Документ касается, например, зданий и помещений, введенных в эксплуатацию до 29 апреля 2009 года включительно (т.е. до вступления в силу Техрегламента о требованиях пожарной безопасности).</w:t>
      </w:r>
    </w:p>
    <w:p w:rsidR="00882278" w:rsidRPr="00882278" w:rsidRDefault="00882278" w:rsidP="00251722">
      <w:pPr>
        <w:spacing w:after="0"/>
        <w:ind w:left="284"/>
        <w:jc w:val="both"/>
        <w:rPr>
          <w:sz w:val="20"/>
          <w:szCs w:val="20"/>
        </w:rPr>
      </w:pPr>
      <w:r w:rsidRPr="00882278">
        <w:rPr>
          <w:sz w:val="20"/>
          <w:szCs w:val="20"/>
        </w:rPr>
        <w:t>Новые требования начнут действовать 1 марта 2022 года. Их будут применять вместо следующих документов:</w:t>
      </w:r>
    </w:p>
    <w:p w:rsidR="00882278" w:rsidRPr="00882278" w:rsidRDefault="00251722" w:rsidP="00251722">
      <w:pPr>
        <w:spacing w:after="0"/>
        <w:ind w:left="284"/>
        <w:jc w:val="both"/>
        <w:rPr>
          <w:sz w:val="20"/>
          <w:szCs w:val="20"/>
        </w:rPr>
      </w:pPr>
      <w:r>
        <w:rPr>
          <w:bCs/>
          <w:sz w:val="20"/>
          <w:szCs w:val="20"/>
        </w:rPr>
        <w:t>–</w:t>
      </w:r>
      <w:r>
        <w:rPr>
          <w:rFonts w:ascii="Calibri" w:hAnsi="Calibri" w:cs="Calibri"/>
          <w:sz w:val="20"/>
          <w:szCs w:val="20"/>
        </w:rPr>
        <w:t> </w:t>
      </w:r>
      <w:r w:rsidR="00882278" w:rsidRPr="00882278">
        <w:rPr>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882278" w:rsidRPr="00882278" w:rsidRDefault="00251722" w:rsidP="00251722">
      <w:pPr>
        <w:spacing w:after="0"/>
        <w:ind w:left="284"/>
        <w:jc w:val="both"/>
        <w:rPr>
          <w:sz w:val="20"/>
          <w:szCs w:val="20"/>
        </w:rPr>
      </w:pPr>
      <w:r>
        <w:rPr>
          <w:bCs/>
          <w:sz w:val="20"/>
          <w:szCs w:val="20"/>
        </w:rPr>
        <w:t>–</w:t>
      </w:r>
      <w:r>
        <w:rPr>
          <w:rFonts w:ascii="Calibri" w:hAnsi="Calibri" w:cs="Calibri"/>
          <w:sz w:val="20"/>
          <w:szCs w:val="20"/>
        </w:rPr>
        <w:t> </w:t>
      </w:r>
      <w:r w:rsidR="00882278" w:rsidRPr="00882278">
        <w:rPr>
          <w:sz w:val="20"/>
          <w:szCs w:val="20"/>
        </w:rPr>
        <w:t>Системы оповещения и управления эвакуацией людей при пожарах в зданиях и сооружениях (НПБ 104-03).</w:t>
      </w:r>
    </w:p>
    <w:p w:rsidR="00882278" w:rsidRPr="00882278" w:rsidRDefault="00882278" w:rsidP="00251722">
      <w:pPr>
        <w:spacing w:after="0"/>
        <w:ind w:left="284"/>
        <w:jc w:val="both"/>
        <w:rPr>
          <w:sz w:val="20"/>
          <w:szCs w:val="20"/>
        </w:rPr>
      </w:pPr>
      <w:r w:rsidRPr="00882278">
        <w:rPr>
          <w:sz w:val="20"/>
          <w:szCs w:val="20"/>
        </w:rPr>
        <w:t>Рассмотрим, что изменилось по сравнению с этими нормами.</w:t>
      </w:r>
    </w:p>
    <w:p w:rsidR="00882278" w:rsidRPr="00882278" w:rsidRDefault="00882278" w:rsidP="00251722">
      <w:pPr>
        <w:spacing w:after="0"/>
        <w:ind w:left="284"/>
        <w:jc w:val="both"/>
        <w:rPr>
          <w:sz w:val="20"/>
          <w:szCs w:val="20"/>
        </w:rPr>
      </w:pPr>
      <w:r w:rsidRPr="00882278">
        <w:rPr>
          <w:sz w:val="20"/>
          <w:szCs w:val="20"/>
        </w:rPr>
        <w:t>Так, если площадь здания или помещения превышает нормативный показатель максимум на 5%, его можно оборудовать сигнализацией без автоматических установок пожаротушения. Речь идет о показателе, от которого зависит оснащение объекта одной или двумя этими системами.</w:t>
      </w:r>
    </w:p>
    <w:p w:rsidR="00882278" w:rsidRDefault="00882278" w:rsidP="00251722">
      <w:pPr>
        <w:spacing w:after="0"/>
        <w:ind w:left="284"/>
        <w:jc w:val="both"/>
        <w:rPr>
          <w:sz w:val="20"/>
          <w:szCs w:val="20"/>
        </w:rPr>
      </w:pPr>
      <w:r w:rsidRPr="00882278">
        <w:rPr>
          <w:sz w:val="20"/>
          <w:szCs w:val="20"/>
        </w:rPr>
        <w:t>Кроме того, здания, сооружения и помещения разрешат не оборудовать данными установками, если выполняется одно из условий соответствия объекта требованиям пожарной безопасности. То же касается ситуаций, когда обеспечена безопасная эвакуация.</w:t>
      </w:r>
    </w:p>
    <w:p w:rsidR="00071370" w:rsidRPr="00376243" w:rsidRDefault="00882278" w:rsidP="00251722">
      <w:pPr>
        <w:spacing w:after="0"/>
        <w:ind w:left="1701"/>
        <w:rPr>
          <w:i/>
          <w:iCs/>
          <w:sz w:val="20"/>
          <w:szCs w:val="20"/>
          <w:u w:val="single"/>
        </w:rPr>
      </w:pPr>
      <w:r w:rsidRPr="00882278">
        <w:rPr>
          <w:i/>
          <w:iCs/>
          <w:sz w:val="20"/>
          <w:szCs w:val="20"/>
          <w:u w:val="single"/>
        </w:rPr>
        <w:t xml:space="preserve">Постановление Правительства РФ от 01.09.2021 </w:t>
      </w:r>
      <w:r w:rsidR="00251722">
        <w:rPr>
          <w:i/>
          <w:iCs/>
          <w:sz w:val="20"/>
          <w:szCs w:val="20"/>
          <w:u w:val="single"/>
        </w:rPr>
        <w:t>№</w:t>
      </w:r>
      <w:r w:rsidRPr="00882278">
        <w:rPr>
          <w:i/>
          <w:iCs/>
          <w:sz w:val="20"/>
          <w:szCs w:val="20"/>
          <w:u w:val="single"/>
        </w:rPr>
        <w:t xml:space="preserve"> 1464</w:t>
      </w:r>
      <w:r w:rsidR="00071370" w:rsidRPr="00251722">
        <w:rPr>
          <w:i/>
          <w:iCs/>
          <w:sz w:val="20"/>
          <w:szCs w:val="20"/>
        </w:rPr>
        <w:t xml:space="preserve"> </w:t>
      </w:r>
      <w:r w:rsidR="00071370" w:rsidRPr="00E50FA3">
        <w:rPr>
          <w:i/>
          <w:iCs/>
          <w:sz w:val="20"/>
          <w:szCs w:val="20"/>
        </w:rPr>
        <w:t>(</w:t>
      </w:r>
      <w:hyperlink r:id="rId9" w:tooltip="Ссылка на КонсультантПлюс" w:history="1">
        <w:r w:rsidR="00071370" w:rsidRPr="00E50FA3">
          <w:rPr>
            <w:i/>
            <w:iCs/>
            <w:color w:val="0000FF"/>
            <w:sz w:val="20"/>
            <w:szCs w:val="20"/>
          </w:rPr>
          <w:t>офлайн</w:t>
        </w:r>
      </w:hyperlink>
      <w:r w:rsidR="00071370" w:rsidRPr="00E50FA3">
        <w:rPr>
          <w:i/>
          <w:iCs/>
          <w:sz w:val="20"/>
          <w:szCs w:val="20"/>
        </w:rPr>
        <w:t>/</w:t>
      </w:r>
      <w:hyperlink r:id="rId10" w:tooltip="Ссылка на КонсультантПлюс" w:history="1">
        <w:r w:rsidR="00071370" w:rsidRPr="00E50FA3">
          <w:rPr>
            <w:i/>
            <w:iCs/>
            <w:color w:val="0000FF"/>
            <w:sz w:val="20"/>
            <w:szCs w:val="20"/>
          </w:rPr>
          <w:t>онлайн</w:t>
        </w:r>
      </w:hyperlink>
      <w:r w:rsidR="00071370" w:rsidRPr="00E50FA3">
        <w:rPr>
          <w:i/>
          <w:iCs/>
          <w:sz w:val="20"/>
          <w:szCs w:val="20"/>
        </w:rPr>
        <w:t>)</w:t>
      </w:r>
    </w:p>
    <w:p w:rsidR="00071370" w:rsidRPr="00E50FA3" w:rsidRDefault="00071370" w:rsidP="00251722">
      <w:pPr>
        <w:spacing w:after="0"/>
        <w:ind w:left="1701"/>
        <w:jc w:val="both"/>
        <w:rPr>
          <w:rFonts w:ascii="Calibri" w:hAnsi="Calibri" w:cs="Calibri"/>
          <w:bCs/>
          <w:i/>
          <w:iCs/>
          <w:sz w:val="20"/>
          <w:szCs w:val="20"/>
        </w:rPr>
      </w:pPr>
      <w:r w:rsidRPr="00D1478E">
        <w:rPr>
          <w:rFonts w:ascii="Calibri" w:hAnsi="Calibri" w:cs="Calibri"/>
          <w:bCs/>
          <w:i/>
          <w:iCs/>
          <w:sz w:val="20"/>
          <w:szCs w:val="20"/>
        </w:rPr>
        <w:t>Нормативные документы, РЗ, РЗ (Версия Проф), Бюджетные организации</w:t>
      </w:r>
    </w:p>
    <w:p w:rsidR="00014A97" w:rsidRDefault="00014A97" w:rsidP="00E01840">
      <w:pPr>
        <w:spacing w:after="0"/>
        <w:jc w:val="both"/>
        <w:rPr>
          <w:rFonts w:ascii="Calibri" w:hAnsi="Calibri" w:cs="Calibri"/>
          <w:bCs/>
          <w:sz w:val="20"/>
          <w:szCs w:val="20"/>
        </w:rPr>
      </w:pPr>
    </w:p>
    <w:p w:rsidR="00501C68" w:rsidRDefault="00014A97" w:rsidP="00014A97">
      <w:pPr>
        <w:spacing w:after="0"/>
        <w:ind w:firstLine="284"/>
        <w:jc w:val="both"/>
        <w:rPr>
          <w:rFonts w:ascii="Calibri" w:hAnsi="Calibri" w:cs="Calibri"/>
          <w:bCs/>
          <w:i/>
          <w:iCs/>
          <w:sz w:val="28"/>
          <w:szCs w:val="28"/>
        </w:rPr>
      </w:pPr>
      <w:r w:rsidRPr="00014A97">
        <w:rPr>
          <w:rFonts w:ascii="Calibri" w:hAnsi="Calibri" w:cs="Calibri"/>
          <w:bCs/>
          <w:i/>
          <w:iCs/>
          <w:sz w:val="28"/>
          <w:szCs w:val="28"/>
        </w:rPr>
        <w:t>Аналитика</w:t>
      </w:r>
    </w:p>
    <w:p w:rsidR="00014A97" w:rsidRPr="00014A97" w:rsidRDefault="00014A97" w:rsidP="00014A97">
      <w:pPr>
        <w:spacing w:after="0"/>
        <w:ind w:firstLine="284"/>
        <w:jc w:val="both"/>
        <w:rPr>
          <w:rFonts w:ascii="Calibri" w:hAnsi="Calibri" w:cs="Calibri"/>
          <w:bCs/>
          <w:i/>
          <w:iCs/>
          <w:sz w:val="20"/>
          <w:szCs w:val="20"/>
        </w:rPr>
      </w:pPr>
    </w:p>
    <w:p w:rsidR="00E01840" w:rsidRPr="00E01840" w:rsidRDefault="00014A97" w:rsidP="00E01840">
      <w:pPr>
        <w:autoSpaceDE w:val="0"/>
        <w:autoSpaceDN w:val="0"/>
        <w:adjustRightInd w:val="0"/>
        <w:spacing w:after="0" w:line="240" w:lineRule="auto"/>
        <w:ind w:left="284"/>
        <w:jc w:val="both"/>
        <w:rPr>
          <w:rFonts w:ascii="Calibri" w:hAnsi="Calibri" w:cs="Calibri"/>
          <w:b/>
          <w:bCs/>
          <w:sz w:val="20"/>
          <w:szCs w:val="20"/>
        </w:rPr>
      </w:pPr>
      <w:r w:rsidRPr="00014A97">
        <w:rPr>
          <w:rFonts w:ascii="Calibri" w:hAnsi="Calibri" w:cs="Calibri"/>
          <w:b/>
          <w:bCs/>
          <w:sz w:val="20"/>
          <w:szCs w:val="20"/>
        </w:rPr>
        <w:t>Законна ли комиссия банка за вывод денег с бизнес-карты ИП на его личный счет</w:t>
      </w:r>
    </w:p>
    <w:p w:rsidR="00867CBE" w:rsidRPr="00D875C9" w:rsidRDefault="00D875C9" w:rsidP="00D875C9">
      <w:pPr>
        <w:autoSpaceDE w:val="0"/>
        <w:autoSpaceDN w:val="0"/>
        <w:adjustRightInd w:val="0"/>
        <w:spacing w:after="0" w:line="240" w:lineRule="auto"/>
        <w:ind w:left="284"/>
        <w:jc w:val="both"/>
        <w:rPr>
          <w:rFonts w:ascii="Calibri" w:eastAsia="Calibri" w:hAnsi="Calibri" w:cs="Calibri"/>
          <w:sz w:val="20"/>
          <w:szCs w:val="20"/>
        </w:rPr>
      </w:pPr>
      <w:r w:rsidRPr="00D875C9">
        <w:rPr>
          <w:rFonts w:ascii="Calibri" w:eastAsia="Calibri" w:hAnsi="Calibri" w:cs="Calibri"/>
          <w:sz w:val="20"/>
          <w:szCs w:val="20"/>
        </w:rPr>
        <w:t>Деньги, остающиеся на расчетном счете после уплаты налогов, ИП может свободно тратить на что угодно, в том числе и на личные нужды. Но банкам обычно не нравится, когда с бизнес-карты регулярно снимаются наличные и/или без уплаты НДФЛ уходят переводы другим физлицам. Решением может быть вывод оставшейся после уплаты налогов выручки на карточку или текущий счет, открытые ИП как обычному физлицу. Увы, некоторые банки берут за это немалую комиссию.</w:t>
      </w:r>
      <w:r>
        <w:rPr>
          <w:rFonts w:ascii="Calibri" w:eastAsia="Calibri" w:hAnsi="Calibri" w:cs="Calibri"/>
          <w:sz w:val="20"/>
          <w:szCs w:val="20"/>
        </w:rPr>
        <w:t xml:space="preserve"> </w:t>
      </w:r>
      <w:r w:rsidRPr="00D875C9">
        <w:rPr>
          <w:rFonts w:ascii="Calibri" w:eastAsia="Calibri" w:hAnsi="Calibri" w:cs="Calibri"/>
          <w:sz w:val="20"/>
          <w:szCs w:val="20"/>
        </w:rPr>
        <w:t>Почему банкам не нравятся снятие наличных и личные переводы</w:t>
      </w:r>
      <w:r>
        <w:rPr>
          <w:rFonts w:ascii="Calibri" w:eastAsia="Calibri" w:hAnsi="Calibri" w:cs="Calibri"/>
          <w:sz w:val="20"/>
          <w:szCs w:val="20"/>
        </w:rPr>
        <w:t xml:space="preserve"> </w:t>
      </w:r>
      <w:r w:rsidRPr="00D875C9">
        <w:rPr>
          <w:rFonts w:ascii="Calibri" w:eastAsia="Calibri" w:hAnsi="Calibri" w:cs="Calibri"/>
          <w:sz w:val="20"/>
          <w:szCs w:val="20"/>
        </w:rPr>
        <w:t>с бизнес-счетов</w:t>
      </w:r>
      <w:r>
        <w:rPr>
          <w:rFonts w:ascii="Calibri" w:eastAsia="Calibri" w:hAnsi="Calibri" w:cs="Calibri"/>
          <w:sz w:val="20"/>
          <w:szCs w:val="20"/>
        </w:rPr>
        <w:t xml:space="preserve">? </w:t>
      </w:r>
      <w:r w:rsidRPr="00D875C9">
        <w:rPr>
          <w:rFonts w:ascii="Calibri" w:eastAsia="Calibri" w:hAnsi="Calibri" w:cs="Calibri"/>
          <w:sz w:val="20"/>
          <w:szCs w:val="20"/>
        </w:rPr>
        <w:t>Аргументы из судебных решений против комиссии</w:t>
      </w:r>
      <w:r>
        <w:rPr>
          <w:rFonts w:ascii="Calibri" w:eastAsia="Calibri" w:hAnsi="Calibri" w:cs="Calibri"/>
          <w:sz w:val="20"/>
          <w:szCs w:val="20"/>
        </w:rPr>
        <w:t xml:space="preserve">. </w:t>
      </w:r>
      <w:r w:rsidRPr="00D875C9">
        <w:rPr>
          <w:rFonts w:ascii="Calibri" w:eastAsia="Calibri" w:hAnsi="Calibri" w:cs="Calibri"/>
          <w:sz w:val="20"/>
          <w:szCs w:val="20"/>
        </w:rPr>
        <w:t>Как указать назначение платежа при выводе денег</w:t>
      </w:r>
      <w:r>
        <w:rPr>
          <w:rFonts w:ascii="Calibri" w:eastAsia="Calibri" w:hAnsi="Calibri" w:cs="Calibri"/>
          <w:sz w:val="20"/>
          <w:szCs w:val="20"/>
        </w:rPr>
        <w:t xml:space="preserve"> </w:t>
      </w:r>
      <w:r w:rsidRPr="00D875C9">
        <w:rPr>
          <w:rFonts w:ascii="Calibri" w:eastAsia="Calibri" w:hAnsi="Calibri" w:cs="Calibri"/>
          <w:sz w:val="20"/>
          <w:szCs w:val="20"/>
        </w:rPr>
        <w:t>на личный счет</w:t>
      </w:r>
      <w:r>
        <w:rPr>
          <w:rFonts w:ascii="Calibri" w:eastAsia="Calibri" w:hAnsi="Calibri" w:cs="Calibri"/>
          <w:sz w:val="20"/>
          <w:szCs w:val="20"/>
        </w:rPr>
        <w:t>? Все подробности в данной статье.</w:t>
      </w:r>
    </w:p>
    <w:p w:rsidR="00D875C9" w:rsidRPr="00D875C9" w:rsidRDefault="00D875C9" w:rsidP="000B4E6C">
      <w:pPr>
        <w:spacing w:after="0"/>
        <w:ind w:left="1701"/>
        <w:jc w:val="both"/>
        <w:rPr>
          <w:rFonts w:ascii="Calibri" w:hAnsi="Calibri" w:cs="Calibri"/>
          <w:bCs/>
          <w:i/>
          <w:iCs/>
          <w:sz w:val="20"/>
          <w:szCs w:val="20"/>
          <w:u w:val="single"/>
        </w:rPr>
      </w:pPr>
      <w:r w:rsidRPr="00D875C9">
        <w:rPr>
          <w:rFonts w:ascii="Calibri" w:hAnsi="Calibri" w:cs="Calibri"/>
          <w:bCs/>
          <w:i/>
          <w:iCs/>
          <w:sz w:val="20"/>
          <w:szCs w:val="20"/>
          <w:u w:val="single"/>
        </w:rPr>
        <w:t>Статья: Законна ли комиссия банка за вывод денег с бизнес-карты ИП на его личный счет</w:t>
      </w:r>
    </w:p>
    <w:p w:rsidR="00867CBE" w:rsidRPr="00867CBE" w:rsidRDefault="00D875C9" w:rsidP="000B4E6C">
      <w:pPr>
        <w:spacing w:after="0"/>
        <w:ind w:left="1701"/>
        <w:jc w:val="both"/>
        <w:rPr>
          <w:rFonts w:ascii="Calibri" w:hAnsi="Calibri" w:cs="Calibri"/>
          <w:bCs/>
          <w:i/>
          <w:iCs/>
          <w:sz w:val="20"/>
          <w:szCs w:val="20"/>
          <w:u w:val="single"/>
        </w:rPr>
      </w:pPr>
      <w:r w:rsidRPr="00D875C9">
        <w:rPr>
          <w:rFonts w:ascii="Calibri" w:hAnsi="Calibri" w:cs="Calibri"/>
          <w:bCs/>
          <w:i/>
          <w:iCs/>
          <w:sz w:val="20"/>
          <w:szCs w:val="20"/>
          <w:u w:val="single"/>
        </w:rPr>
        <w:t>(Мартынюк Н.А.)</w:t>
      </w:r>
      <w:r>
        <w:rPr>
          <w:rFonts w:ascii="Calibri" w:hAnsi="Calibri" w:cs="Calibri"/>
          <w:bCs/>
          <w:i/>
          <w:iCs/>
          <w:sz w:val="20"/>
          <w:szCs w:val="20"/>
          <w:u w:val="single"/>
        </w:rPr>
        <w:t xml:space="preserve"> </w:t>
      </w:r>
      <w:r w:rsidRPr="00D875C9">
        <w:rPr>
          <w:rFonts w:ascii="Calibri" w:hAnsi="Calibri" w:cs="Calibri"/>
          <w:bCs/>
          <w:i/>
          <w:iCs/>
          <w:sz w:val="20"/>
          <w:szCs w:val="20"/>
          <w:u w:val="single"/>
        </w:rPr>
        <w:t>(</w:t>
      </w:r>
      <w:r w:rsidR="00251722">
        <w:rPr>
          <w:rFonts w:ascii="Calibri" w:hAnsi="Calibri" w:cs="Calibri"/>
          <w:bCs/>
          <w:i/>
          <w:iCs/>
          <w:sz w:val="20"/>
          <w:szCs w:val="20"/>
          <w:u w:val="single"/>
        </w:rPr>
        <w:t>«</w:t>
      </w:r>
      <w:r w:rsidRPr="00D875C9">
        <w:rPr>
          <w:rFonts w:ascii="Calibri" w:hAnsi="Calibri" w:cs="Calibri"/>
          <w:bCs/>
          <w:i/>
          <w:iCs/>
          <w:sz w:val="20"/>
          <w:szCs w:val="20"/>
          <w:u w:val="single"/>
        </w:rPr>
        <w:t>Главная книга</w:t>
      </w:r>
      <w:r w:rsidR="00251722">
        <w:rPr>
          <w:rFonts w:ascii="Calibri" w:hAnsi="Calibri" w:cs="Calibri"/>
          <w:bCs/>
          <w:i/>
          <w:iCs/>
          <w:sz w:val="20"/>
          <w:szCs w:val="20"/>
          <w:u w:val="single"/>
        </w:rPr>
        <w:t>»</w:t>
      </w:r>
      <w:r w:rsidRPr="00D875C9">
        <w:rPr>
          <w:rFonts w:ascii="Calibri" w:hAnsi="Calibri" w:cs="Calibri"/>
          <w:bCs/>
          <w:i/>
          <w:iCs/>
          <w:sz w:val="20"/>
          <w:szCs w:val="20"/>
          <w:u w:val="single"/>
        </w:rPr>
        <w:t xml:space="preserve">, 2021, </w:t>
      </w:r>
      <w:r w:rsidR="00251722">
        <w:rPr>
          <w:rFonts w:ascii="Calibri" w:hAnsi="Calibri" w:cs="Calibri"/>
          <w:bCs/>
          <w:i/>
          <w:iCs/>
          <w:sz w:val="20"/>
          <w:szCs w:val="20"/>
          <w:u w:val="single"/>
        </w:rPr>
        <w:t>№</w:t>
      </w:r>
      <w:r w:rsidRPr="00D875C9">
        <w:rPr>
          <w:rFonts w:ascii="Calibri" w:hAnsi="Calibri" w:cs="Calibri"/>
          <w:bCs/>
          <w:i/>
          <w:iCs/>
          <w:sz w:val="20"/>
          <w:szCs w:val="20"/>
          <w:u w:val="single"/>
        </w:rPr>
        <w:t xml:space="preserve"> 14)</w:t>
      </w:r>
      <w:r w:rsidRPr="00251722">
        <w:rPr>
          <w:rFonts w:ascii="Calibri" w:hAnsi="Calibri" w:cs="Calibri"/>
          <w:bCs/>
          <w:i/>
          <w:iCs/>
          <w:sz w:val="20"/>
          <w:szCs w:val="20"/>
        </w:rPr>
        <w:t xml:space="preserve"> </w:t>
      </w:r>
      <w:r w:rsidR="00867CBE" w:rsidRPr="00251722">
        <w:rPr>
          <w:rFonts w:ascii="Calibri" w:hAnsi="Calibri" w:cs="Calibri"/>
          <w:i/>
          <w:iCs/>
          <w:sz w:val="20"/>
          <w:szCs w:val="20"/>
        </w:rPr>
        <w:t>(</w:t>
      </w:r>
      <w:hyperlink r:id="rId11" w:tooltip="Ссылка на КонсультантПлюс" w:history="1">
        <w:r w:rsidR="00867CBE" w:rsidRPr="00251722">
          <w:rPr>
            <w:rStyle w:val="a7"/>
            <w:i/>
            <w:iCs/>
            <w:sz w:val="20"/>
            <w:szCs w:val="20"/>
            <w:u w:val="none"/>
          </w:rPr>
          <w:t>офлайн</w:t>
        </w:r>
      </w:hyperlink>
      <w:r w:rsidR="00867CBE" w:rsidRPr="00251722">
        <w:rPr>
          <w:rStyle w:val="a7"/>
          <w:i/>
          <w:iCs/>
          <w:color w:val="auto"/>
          <w:sz w:val="20"/>
          <w:szCs w:val="20"/>
          <w:u w:val="none"/>
        </w:rPr>
        <w:t>/</w:t>
      </w:r>
      <w:hyperlink r:id="rId12" w:history="1">
        <w:r w:rsidR="00867CBE" w:rsidRPr="00251722">
          <w:rPr>
            <w:rStyle w:val="a7"/>
            <w:i/>
            <w:iCs/>
            <w:sz w:val="20"/>
            <w:szCs w:val="20"/>
            <w:u w:val="none"/>
          </w:rPr>
          <w:t>онлайн</w:t>
        </w:r>
      </w:hyperlink>
      <w:r w:rsidR="00867CBE" w:rsidRPr="00251722">
        <w:rPr>
          <w:i/>
          <w:iCs/>
          <w:sz w:val="20"/>
          <w:szCs w:val="20"/>
        </w:rPr>
        <w:t>)</w:t>
      </w:r>
    </w:p>
    <w:p w:rsidR="00867CBE" w:rsidRPr="00E50FA3" w:rsidRDefault="00253616" w:rsidP="000B4E6C">
      <w:pPr>
        <w:spacing w:after="0"/>
        <w:ind w:left="1701"/>
        <w:jc w:val="both"/>
        <w:rPr>
          <w:rFonts w:ascii="Calibri" w:hAnsi="Calibri" w:cs="Calibri"/>
          <w:bCs/>
          <w:i/>
          <w:iCs/>
          <w:sz w:val="20"/>
          <w:szCs w:val="20"/>
        </w:rPr>
      </w:pPr>
      <w:bookmarkStart w:id="0" w:name="_GoBack"/>
      <w:bookmarkEnd w:id="0"/>
      <w:r>
        <w:rPr>
          <w:rFonts w:ascii="Calibri" w:hAnsi="Calibri" w:cs="Calibri"/>
          <w:bCs/>
          <w:i/>
          <w:iCs/>
          <w:sz w:val="20"/>
          <w:szCs w:val="20"/>
        </w:rPr>
        <w:t>Финансовые и кадровые консультации</w:t>
      </w:r>
    </w:p>
    <w:p w:rsidR="005D61C5" w:rsidRPr="00040F3C" w:rsidRDefault="005D61C5" w:rsidP="00253616">
      <w:pPr>
        <w:spacing w:after="0"/>
        <w:jc w:val="both"/>
        <w:rPr>
          <w:rFonts w:cs="Calibri"/>
          <w:i/>
          <w:iCs/>
          <w:sz w:val="20"/>
          <w:szCs w:val="20"/>
        </w:rPr>
      </w:pPr>
    </w:p>
    <w:sectPr w:rsidR="005D61C5" w:rsidRPr="00040F3C" w:rsidSect="00F34E3F">
      <w:footerReference w:type="default" r:id="rId13"/>
      <w:pgSz w:w="11906" w:h="16838"/>
      <w:pgMar w:top="142" w:right="850" w:bottom="1134" w:left="284"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A6A" w:rsidRDefault="001F1A6A" w:rsidP="00703DCB">
      <w:pPr>
        <w:spacing w:after="0" w:line="240" w:lineRule="auto"/>
      </w:pPr>
      <w:r>
        <w:separator/>
      </w:r>
    </w:p>
  </w:endnote>
  <w:endnote w:type="continuationSeparator" w:id="0">
    <w:p w:rsidR="001F1A6A" w:rsidRDefault="001F1A6A" w:rsidP="0070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CB" w:rsidRPr="00687604" w:rsidRDefault="00703DCB" w:rsidP="00703DCB">
    <w:pPr>
      <w:tabs>
        <w:tab w:val="center" w:pos="4677"/>
        <w:tab w:val="right" w:pos="8789"/>
      </w:tabs>
      <w:spacing w:after="0" w:line="240" w:lineRule="auto"/>
      <w:rPr>
        <w:rFonts w:ascii="Arial" w:eastAsia="Times New Roman" w:hAnsi="Arial" w:cs="Times New Roman"/>
        <w:sz w:val="18"/>
        <w:szCs w:val="18"/>
        <w:lang w:eastAsia="ru-RU"/>
      </w:rPr>
    </w:pPr>
    <w:r>
      <w:tab/>
    </w:r>
    <w:bookmarkStart w:id="1" w:name="_Hlk2241002"/>
    <w:r w:rsidRPr="00687604">
      <w:rPr>
        <w:rFonts w:ascii="Arial" w:eastAsia="Times New Roman" w:hAnsi="Arial" w:cs="Times New Roman"/>
        <w:lang w:eastAsia="ru-RU"/>
      </w:rPr>
      <w:fldChar w:fldCharType="begin"/>
    </w:r>
    <w:r w:rsidRPr="00687604">
      <w:rPr>
        <w:rFonts w:ascii="Arial" w:eastAsia="Times New Roman" w:hAnsi="Arial" w:cs="Times New Roman"/>
        <w:lang w:eastAsia="ru-RU"/>
      </w:rPr>
      <w:instrText xml:space="preserve"> HYPERLINK "http://www.api.nnov.ru" </w:instrText>
    </w:r>
    <w:r w:rsidRPr="00687604">
      <w:rPr>
        <w:rFonts w:ascii="Arial" w:eastAsia="Times New Roman" w:hAnsi="Arial" w:cs="Times New Roman"/>
        <w:lang w:eastAsia="ru-RU"/>
      </w:rPr>
      <w:fldChar w:fldCharType="separate"/>
    </w:r>
    <w:r w:rsidRPr="00687604">
      <w:rPr>
        <w:rFonts w:ascii="Arial" w:eastAsia="Times New Roman" w:hAnsi="Arial" w:cs="Times New Roman"/>
        <w:color w:val="0000FF"/>
        <w:sz w:val="18"/>
        <w:szCs w:val="18"/>
        <w:u w:val="single"/>
        <w:lang w:val="en-US" w:eastAsia="ru-RU"/>
      </w:rPr>
      <w:t>www.api.nnov.ru</w:t>
    </w:r>
    <w:r w:rsidRPr="00687604">
      <w:rPr>
        <w:rFonts w:ascii="Arial" w:eastAsia="Times New Roman" w:hAnsi="Arial" w:cs="Times New Roman"/>
        <w:color w:val="0000FF"/>
        <w:sz w:val="18"/>
        <w:szCs w:val="18"/>
        <w:u w:val="single"/>
        <w:lang w:val="en-US" w:eastAsia="ru-RU"/>
      </w:rPr>
      <w:fldChar w:fldCharType="end"/>
    </w:r>
    <w:r w:rsidRPr="00687604">
      <w:rPr>
        <w:rFonts w:ascii="Arial" w:eastAsia="Times New Roman" w:hAnsi="Arial" w:cs="Times New Roman"/>
        <w:sz w:val="18"/>
        <w:szCs w:val="18"/>
        <w:lang w:val="en-US" w:eastAsia="ru-RU"/>
      </w:rPr>
      <w:t xml:space="preserve">                                                                                                                                </w:t>
    </w:r>
    <w:bookmarkStart w:id="2" w:name="_Hlk2240911"/>
    <w:bookmarkStart w:id="3" w:name="_Hlk2240912"/>
    <w:bookmarkStart w:id="4" w:name="_Hlk2240913"/>
    <w:bookmarkStart w:id="5" w:name="_Hlk2240914"/>
    <w:bookmarkStart w:id="6" w:name="_Hlk2240915"/>
    <w:bookmarkStart w:id="7" w:name="_Hlk2240916"/>
    <w:bookmarkStart w:id="8" w:name="_Hlk2240917"/>
    <w:bookmarkStart w:id="9" w:name="_Hlk2240918"/>
    <w:bookmarkStart w:id="10" w:name="_Hlk2240919"/>
    <w:bookmarkStart w:id="11" w:name="_Hlk2240920"/>
    <w:bookmarkStart w:id="12" w:name="_Hlk2240921"/>
    <w:bookmarkStart w:id="13" w:name="_Hlk2240922"/>
    <w:bookmarkStart w:id="14" w:name="_Hlk2240923"/>
    <w:bookmarkStart w:id="15" w:name="_Hlk2240924"/>
    <w:bookmarkStart w:id="16" w:name="_Hlk2240925"/>
    <w:bookmarkStart w:id="17" w:name="_Hlk2240926"/>
    <w:bookmarkStart w:id="18" w:name="_Hlk2240927"/>
    <w:bookmarkStart w:id="19" w:name="_Hlk2240928"/>
    <w:bookmarkStart w:id="20" w:name="_Hlk2240929"/>
    <w:bookmarkStart w:id="21" w:name="_Hlk2240930"/>
    <w:bookmarkStart w:id="22" w:name="_Hlk2240931"/>
    <w:bookmarkStart w:id="23" w:name="_Hlk2240932"/>
    <w:bookmarkStart w:id="24" w:name="_Hlk2240955"/>
    <w:bookmarkStart w:id="25" w:name="_Hlk2240956"/>
    <w:bookmarkStart w:id="26" w:name="_Hlk2240959"/>
    <w:bookmarkStart w:id="27" w:name="_Hlk2240960"/>
    <w:bookmarkStart w:id="28" w:name="_Hlk2240961"/>
    <w:bookmarkStart w:id="29" w:name="_Hlk2240962"/>
    <w:bookmarkEnd w:id="1"/>
    <w:r w:rsidRPr="00687604">
      <w:rPr>
        <w:rFonts w:ascii="Arial" w:eastAsia="Times New Roman" w:hAnsi="Arial" w:cs="Times New Roman"/>
        <w:sz w:val="18"/>
        <w:szCs w:val="18"/>
        <w:lang w:val="en-US" w:eastAsia="ru-RU"/>
      </w:rPr>
      <w:t>+7 831 461 80 90</w:t>
    </w:r>
    <w:r w:rsidRPr="00687604">
      <w:rPr>
        <w:rFonts w:ascii="Arial" w:eastAsia="Times New Roman" w:hAnsi="Arial" w:cs="Times New Roman"/>
        <w:sz w:val="18"/>
        <w:szCs w:val="18"/>
        <w:lang w:eastAsia="ru-RU"/>
      </w:rPr>
      <w:t>;     8 800 707 1111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03DCB" w:rsidRDefault="00703DCB" w:rsidP="00703DCB">
    <w:pPr>
      <w:pStyle w:val="a5"/>
      <w:tabs>
        <w:tab w:val="clear" w:pos="4677"/>
        <w:tab w:val="clear" w:pos="9355"/>
        <w:tab w:val="left" w:pos="1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A6A" w:rsidRDefault="001F1A6A" w:rsidP="00703DCB">
      <w:pPr>
        <w:spacing w:after="0" w:line="240" w:lineRule="auto"/>
      </w:pPr>
      <w:r>
        <w:separator/>
      </w:r>
    </w:p>
  </w:footnote>
  <w:footnote w:type="continuationSeparator" w:id="0">
    <w:p w:rsidR="001F1A6A" w:rsidRDefault="001F1A6A" w:rsidP="00703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CB"/>
    <w:rsid w:val="00014A97"/>
    <w:rsid w:val="00040F3C"/>
    <w:rsid w:val="0004587E"/>
    <w:rsid w:val="00054177"/>
    <w:rsid w:val="00062568"/>
    <w:rsid w:val="00071370"/>
    <w:rsid w:val="00072261"/>
    <w:rsid w:val="000B4E6C"/>
    <w:rsid w:val="000C30F4"/>
    <w:rsid w:val="000C6116"/>
    <w:rsid w:val="000D6141"/>
    <w:rsid w:val="001027E0"/>
    <w:rsid w:val="00123F8C"/>
    <w:rsid w:val="00131151"/>
    <w:rsid w:val="0013433C"/>
    <w:rsid w:val="001404FD"/>
    <w:rsid w:val="00153F6A"/>
    <w:rsid w:val="00154F63"/>
    <w:rsid w:val="00161BE8"/>
    <w:rsid w:val="00171CCB"/>
    <w:rsid w:val="001908F2"/>
    <w:rsid w:val="00190EA1"/>
    <w:rsid w:val="00192057"/>
    <w:rsid w:val="001F1A6A"/>
    <w:rsid w:val="001F2AAE"/>
    <w:rsid w:val="00227306"/>
    <w:rsid w:val="00251722"/>
    <w:rsid w:val="00253616"/>
    <w:rsid w:val="00265104"/>
    <w:rsid w:val="0029312F"/>
    <w:rsid w:val="002964E5"/>
    <w:rsid w:val="002B6D51"/>
    <w:rsid w:val="002F5D7A"/>
    <w:rsid w:val="00322C2E"/>
    <w:rsid w:val="003319AC"/>
    <w:rsid w:val="00333CE7"/>
    <w:rsid w:val="00357EF6"/>
    <w:rsid w:val="003836A9"/>
    <w:rsid w:val="003B14EB"/>
    <w:rsid w:val="003C1AEF"/>
    <w:rsid w:val="003D5126"/>
    <w:rsid w:val="003F01F9"/>
    <w:rsid w:val="003F7E11"/>
    <w:rsid w:val="00406B78"/>
    <w:rsid w:val="00411D2B"/>
    <w:rsid w:val="004247AD"/>
    <w:rsid w:val="004646BF"/>
    <w:rsid w:val="004877B9"/>
    <w:rsid w:val="004945B2"/>
    <w:rsid w:val="0049642F"/>
    <w:rsid w:val="004B1484"/>
    <w:rsid w:val="004B2C76"/>
    <w:rsid w:val="004B3D50"/>
    <w:rsid w:val="004C5AB3"/>
    <w:rsid w:val="004E12FF"/>
    <w:rsid w:val="004F78A6"/>
    <w:rsid w:val="00501C68"/>
    <w:rsid w:val="005048B9"/>
    <w:rsid w:val="0051578F"/>
    <w:rsid w:val="00522FBC"/>
    <w:rsid w:val="00532D5D"/>
    <w:rsid w:val="00553323"/>
    <w:rsid w:val="00573AE5"/>
    <w:rsid w:val="0058558B"/>
    <w:rsid w:val="00585BFD"/>
    <w:rsid w:val="005B1620"/>
    <w:rsid w:val="005C2024"/>
    <w:rsid w:val="005C41C0"/>
    <w:rsid w:val="005C5951"/>
    <w:rsid w:val="005D08FD"/>
    <w:rsid w:val="005D61C5"/>
    <w:rsid w:val="00631FF9"/>
    <w:rsid w:val="00642A2E"/>
    <w:rsid w:val="00645DCC"/>
    <w:rsid w:val="006A5D3A"/>
    <w:rsid w:val="006F312F"/>
    <w:rsid w:val="006F3769"/>
    <w:rsid w:val="00703DCB"/>
    <w:rsid w:val="007233A5"/>
    <w:rsid w:val="0074611C"/>
    <w:rsid w:val="00766E67"/>
    <w:rsid w:val="00770182"/>
    <w:rsid w:val="00786326"/>
    <w:rsid w:val="00792BFC"/>
    <w:rsid w:val="007A1CBB"/>
    <w:rsid w:val="007B59F1"/>
    <w:rsid w:val="007D148F"/>
    <w:rsid w:val="007D20E1"/>
    <w:rsid w:val="007E67E9"/>
    <w:rsid w:val="007E6A46"/>
    <w:rsid w:val="008277F4"/>
    <w:rsid w:val="00840D34"/>
    <w:rsid w:val="00846B63"/>
    <w:rsid w:val="008542BB"/>
    <w:rsid w:val="00854E35"/>
    <w:rsid w:val="00867CBE"/>
    <w:rsid w:val="00882278"/>
    <w:rsid w:val="00892AD1"/>
    <w:rsid w:val="00905C70"/>
    <w:rsid w:val="0093568B"/>
    <w:rsid w:val="00950D1E"/>
    <w:rsid w:val="00963114"/>
    <w:rsid w:val="0099689B"/>
    <w:rsid w:val="009B45AB"/>
    <w:rsid w:val="009F1549"/>
    <w:rsid w:val="00A02825"/>
    <w:rsid w:val="00A7653E"/>
    <w:rsid w:val="00A81B30"/>
    <w:rsid w:val="00AA3261"/>
    <w:rsid w:val="00AB54B2"/>
    <w:rsid w:val="00AB567E"/>
    <w:rsid w:val="00AC7A46"/>
    <w:rsid w:val="00B133BF"/>
    <w:rsid w:val="00B15768"/>
    <w:rsid w:val="00B7450A"/>
    <w:rsid w:val="00B80920"/>
    <w:rsid w:val="00B8755B"/>
    <w:rsid w:val="00B937C9"/>
    <w:rsid w:val="00BA1F03"/>
    <w:rsid w:val="00BD189D"/>
    <w:rsid w:val="00BE2076"/>
    <w:rsid w:val="00BF5EDF"/>
    <w:rsid w:val="00C071A0"/>
    <w:rsid w:val="00C107DC"/>
    <w:rsid w:val="00C23605"/>
    <w:rsid w:val="00C64C39"/>
    <w:rsid w:val="00C940D8"/>
    <w:rsid w:val="00CF5A70"/>
    <w:rsid w:val="00D05B7E"/>
    <w:rsid w:val="00D46834"/>
    <w:rsid w:val="00D57073"/>
    <w:rsid w:val="00D70CEF"/>
    <w:rsid w:val="00D84CB5"/>
    <w:rsid w:val="00D875C9"/>
    <w:rsid w:val="00DC59F2"/>
    <w:rsid w:val="00DD12C0"/>
    <w:rsid w:val="00E01840"/>
    <w:rsid w:val="00E01D8B"/>
    <w:rsid w:val="00E13416"/>
    <w:rsid w:val="00E2008E"/>
    <w:rsid w:val="00E257D3"/>
    <w:rsid w:val="00E82945"/>
    <w:rsid w:val="00E83EDE"/>
    <w:rsid w:val="00E87592"/>
    <w:rsid w:val="00EB210D"/>
    <w:rsid w:val="00EC615F"/>
    <w:rsid w:val="00ED08FA"/>
    <w:rsid w:val="00EE2868"/>
    <w:rsid w:val="00F02D5B"/>
    <w:rsid w:val="00F05D5A"/>
    <w:rsid w:val="00F109B2"/>
    <w:rsid w:val="00F324DB"/>
    <w:rsid w:val="00F34E3F"/>
    <w:rsid w:val="00F862E2"/>
    <w:rsid w:val="00F975BD"/>
    <w:rsid w:val="00FC183F"/>
    <w:rsid w:val="00FD1E46"/>
    <w:rsid w:val="00FD31D6"/>
    <w:rsid w:val="00FE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A7AF0"/>
  <w15:chartTrackingRefBased/>
  <w15:docId w15:val="{3D80BEC9-3362-4674-AF15-31CB37B5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3DCB"/>
  </w:style>
  <w:style w:type="paragraph" w:styleId="a5">
    <w:name w:val="footer"/>
    <w:basedOn w:val="a"/>
    <w:link w:val="a6"/>
    <w:uiPriority w:val="99"/>
    <w:unhideWhenUsed/>
    <w:rsid w:val="00703D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3DCB"/>
  </w:style>
  <w:style w:type="character" w:styleId="a7">
    <w:name w:val="Hyperlink"/>
    <w:basedOn w:val="a0"/>
    <w:uiPriority w:val="99"/>
    <w:unhideWhenUsed/>
    <w:rsid w:val="00703DCB"/>
    <w:rPr>
      <w:color w:val="0563C1" w:themeColor="hyperlink"/>
      <w:u w:val="single"/>
    </w:rPr>
  </w:style>
  <w:style w:type="character" w:styleId="a8">
    <w:name w:val="Unresolved Mention"/>
    <w:basedOn w:val="a0"/>
    <w:uiPriority w:val="99"/>
    <w:semiHidden/>
    <w:unhideWhenUsed/>
    <w:rsid w:val="005B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5031&amp;dst=100003%2C2&amp;date=01.10.202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944A09AB8389992756DE0BA5DA6794810F710D8C3FA7AC12C16A263468DAC8A45819B769EFAA79743D3AE5769B8545DB0BD8E2757BC9B6CyBe5I" TargetMode="External"/><Relationship Id="rId12" Type="http://schemas.openxmlformats.org/officeDocument/2006/relationships/hyperlink" Target="https://login.consultant.ru/link/?req=doc&amp;base=PBI&amp;n=290925&amp;dst=100003&amp;date=01.10.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083FF38E34ADE8DE1F70D47D000CDE47FDB3430D4EF20EB8208B93E588770E56242B6CBBB7C6DDF544E7ED1FA7060D667DF6CA75379C5C601kA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94758&amp;dst=100008%2C-2&amp;date=01.10.2021" TargetMode="External"/><Relationship Id="rId4" Type="http://schemas.openxmlformats.org/officeDocument/2006/relationships/footnotes" Target="footnotes.xml"/><Relationship Id="rId9" Type="http://schemas.openxmlformats.org/officeDocument/2006/relationships/hyperlink" Target="consultantplus://offline/ref=F9E0886B6B3A73F46C9A0A03704806A50F1F7E0B0B4CFD77D3963ABFE38F6F04503CC0E484A9A45375E2633F56AFAC65972E2ACD34CF39D1R0j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11130</TotalTime>
  <Pages>1</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 Елена</dc:creator>
  <cp:keywords/>
  <dc:description/>
  <cp:lastModifiedBy>Норская Наталья</cp:lastModifiedBy>
  <cp:revision>116</cp:revision>
  <dcterms:created xsi:type="dcterms:W3CDTF">2020-01-13T06:29:00Z</dcterms:created>
  <dcterms:modified xsi:type="dcterms:W3CDTF">2021-10-04T10:01:00Z</dcterms:modified>
</cp:coreProperties>
</file>