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AD" w:rsidRDefault="00A125B9" w:rsidP="001225AE">
      <w:pPr>
        <w:spacing w:after="0"/>
        <w:rPr>
          <w:rFonts w:cs="Arial"/>
          <w:i/>
          <w:sz w:val="28"/>
          <w:szCs w:val="28"/>
        </w:rPr>
      </w:pPr>
      <w:r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2732A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C61EB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45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" filled="f" stroked="f" strokeweight=".5pt">
                <v:textbox>
                  <w:txbxContent>
                    <w:p w:rsidR="007939DE" w:rsidRPr="003C5767" w:rsidRDefault="002732A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C61EB0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4574F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104E" w:rsidRDefault="005F104E" w:rsidP="0067729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F104E">
        <w:rPr>
          <w:rFonts w:cs="Arial"/>
          <w:b/>
          <w:bCs/>
          <w:iCs/>
          <w:sz w:val="20"/>
          <w:szCs w:val="20"/>
        </w:rPr>
        <w:t>Прослеживаемость товаров: ФНС разъяснила ряд нюансов о книге покупок, отчете и ответственности</w:t>
      </w:r>
    </w:p>
    <w:p w:rsidR="005F104E" w:rsidRPr="005F104E" w:rsidRDefault="005F104E" w:rsidP="005F104E">
      <w:pPr>
        <w:spacing w:after="0"/>
        <w:jc w:val="both"/>
        <w:rPr>
          <w:rFonts w:cs="Arial"/>
          <w:iCs/>
          <w:sz w:val="20"/>
          <w:szCs w:val="20"/>
        </w:rPr>
      </w:pPr>
      <w:r w:rsidRPr="005F104E">
        <w:rPr>
          <w:rFonts w:cs="Arial"/>
          <w:iCs/>
          <w:sz w:val="20"/>
          <w:szCs w:val="20"/>
        </w:rPr>
        <w:t>Налоговая служба указала на такие</w:t>
      </w:r>
      <w:r w:rsidR="00DE3E4B">
        <w:rPr>
          <w:rFonts w:cs="Arial"/>
          <w:iCs/>
          <w:sz w:val="20"/>
          <w:szCs w:val="20"/>
        </w:rPr>
        <w:t xml:space="preserve"> </w:t>
      </w:r>
      <w:r w:rsidRPr="005F104E">
        <w:rPr>
          <w:rFonts w:cs="Arial"/>
          <w:iCs/>
          <w:sz w:val="20"/>
          <w:szCs w:val="20"/>
        </w:rPr>
        <w:t>моменты:</w:t>
      </w:r>
    </w:p>
    <w:p w:rsidR="005F104E" w:rsidRPr="005F104E" w:rsidRDefault="00DE3E4B" w:rsidP="005F10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</w:rPr>
        <w:t> </w:t>
      </w:r>
      <w:r w:rsidR="005F104E" w:rsidRPr="005F104E">
        <w:rPr>
          <w:rFonts w:cs="Arial"/>
          <w:iCs/>
          <w:sz w:val="20"/>
          <w:szCs w:val="20"/>
        </w:rPr>
        <w:t>по прослеживаемым товарам, ввезенным в РФ и выпущенным для внутреннего потребления, импортер не заполняет в книге покупок графы с реквизитами прослеживаемости, в т.ч. РНПТ. Налоговики объяснили это тем, что в таком случае в графе</w:t>
      </w:r>
      <w:r>
        <w:rPr>
          <w:rFonts w:cs="Arial"/>
          <w:iCs/>
          <w:sz w:val="20"/>
          <w:szCs w:val="20"/>
        </w:rPr>
        <w:t> </w:t>
      </w:r>
      <w:r w:rsidR="005F104E" w:rsidRPr="005F104E">
        <w:rPr>
          <w:rFonts w:cs="Arial"/>
          <w:iCs/>
          <w:sz w:val="20"/>
          <w:szCs w:val="20"/>
        </w:rPr>
        <w:t>3 вместо номера и даты счета-фактуры указывают регистрационный номер декларации на товары;</w:t>
      </w:r>
    </w:p>
    <w:p w:rsidR="005F104E" w:rsidRPr="005F104E" w:rsidRDefault="00DE3E4B" w:rsidP="005F10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5F104E" w:rsidRPr="005F104E">
        <w:rPr>
          <w:rFonts w:cs="Arial"/>
          <w:iCs/>
          <w:sz w:val="20"/>
          <w:szCs w:val="20"/>
        </w:rPr>
        <w:t>даже если товар планируют использовать как в облагаемых, так и не облагаемых НДС операциях, реквизиты прослеживаемости и стоимость товара из счета-фактуры в книгу покупок переносят полностью. Неважно, какую часть НДС планируют принять к вычету. Это верно и тогда, когда налог заявляют к вычету частями в разных налоговых периодах в течение трех лет после принятия на учет;</w:t>
      </w:r>
    </w:p>
    <w:p w:rsidR="005F104E" w:rsidRPr="005F104E" w:rsidRDefault="00DE3E4B" w:rsidP="005F10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5F104E" w:rsidRPr="005F104E">
        <w:rPr>
          <w:rFonts w:cs="Arial"/>
          <w:iCs/>
          <w:sz w:val="20"/>
          <w:szCs w:val="20"/>
        </w:rPr>
        <w:t>если налогоплательщик не регистрирует в книге покупок счета-фактуры на прослеживаемые товары и не использует право на вычет НДС, то у него нет обязанности отражать сведения из таких счетов-фактур в отчете об операциях с прослеживаемыми товарами. То же самое верно и для случая, когда у налогоплательщика нет права на вычет;</w:t>
      </w:r>
    </w:p>
    <w:p w:rsidR="005F104E" w:rsidRPr="005F104E" w:rsidRDefault="00DE3E4B" w:rsidP="005F10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5F104E" w:rsidRPr="005F104E">
        <w:rPr>
          <w:rFonts w:cs="Arial"/>
          <w:iCs/>
          <w:sz w:val="20"/>
          <w:szCs w:val="20"/>
        </w:rPr>
        <w:t>если при ремонте оборудования прослеживаемый товар стал неотъемлемой его частью, то передачу товара для ремонта нужно отразить в отчете. При этом указывают код 01. Он означает, что товар передали в производство или на переработку. Напомним, что сам по себе ремонт товара (когда он не становится частью какого-либо оборудования) не прекращает прослеживаемость. Такую операцию в отчет не включают. См. новость;</w:t>
      </w:r>
    </w:p>
    <w:p w:rsidR="005F104E" w:rsidRPr="005F104E" w:rsidRDefault="00DE3E4B" w:rsidP="005F10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5F104E" w:rsidRPr="005F104E">
        <w:rPr>
          <w:rFonts w:cs="Arial"/>
          <w:iCs/>
          <w:sz w:val="20"/>
          <w:szCs w:val="20"/>
        </w:rPr>
        <w:t>за непредставление отчета и документов с реквизитами прослеживаемости нельзя штрафовать по ст. 126 и 126.1 НК РФ. Напомним, по данным статьям привлекают за непредставление сведений налоговикам и представление налоговыми агентами недостоверных сведений.</w:t>
      </w:r>
    </w:p>
    <w:p w:rsidR="005F104E" w:rsidRDefault="005F104E" w:rsidP="00DE3E4B">
      <w:pPr>
        <w:spacing w:after="0"/>
        <w:ind w:left="1134"/>
        <w:jc w:val="both"/>
        <w:rPr>
          <w:rFonts w:cs="Arial"/>
          <w:i/>
          <w:sz w:val="20"/>
          <w:szCs w:val="20"/>
          <w:u w:val="single"/>
        </w:rPr>
      </w:pPr>
      <w:r w:rsidRPr="005F104E">
        <w:rPr>
          <w:rFonts w:cs="Arial"/>
          <w:i/>
          <w:sz w:val="20"/>
          <w:szCs w:val="20"/>
          <w:u w:val="single"/>
        </w:rPr>
        <w:t xml:space="preserve">Письмо ФНС России от 04.10.2021 </w:t>
      </w:r>
      <w:r w:rsidR="00DE3E4B">
        <w:rPr>
          <w:rFonts w:cs="Arial"/>
          <w:i/>
          <w:sz w:val="20"/>
          <w:szCs w:val="20"/>
          <w:u w:val="single"/>
        </w:rPr>
        <w:t>№</w:t>
      </w:r>
      <w:r w:rsidRPr="005F104E">
        <w:rPr>
          <w:rFonts w:cs="Arial"/>
          <w:i/>
          <w:sz w:val="20"/>
          <w:szCs w:val="20"/>
          <w:u w:val="single"/>
        </w:rPr>
        <w:t xml:space="preserve"> ЕА-4-15/14004@</w:t>
      </w:r>
      <w:r w:rsidRPr="00DE3E4B">
        <w:rPr>
          <w:rFonts w:cs="Arial"/>
          <w:i/>
          <w:sz w:val="20"/>
          <w:szCs w:val="20"/>
        </w:rPr>
        <w:t xml:space="preserve"> </w:t>
      </w:r>
      <w:r w:rsidRPr="005715AA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715AA">
        <w:rPr>
          <w:sz w:val="20"/>
          <w:szCs w:val="20"/>
        </w:rPr>
        <w:t>/</w:t>
      </w:r>
      <w:hyperlink r:id="rId8" w:history="1">
        <w:r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5F104E" w:rsidRPr="001C7C61" w:rsidRDefault="005F104E" w:rsidP="00DE3E4B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2732AD" w:rsidRDefault="00C61EB0" w:rsidP="00DE3E4B">
      <w:pPr>
        <w:spacing w:before="120" w:after="0"/>
        <w:jc w:val="both"/>
        <w:rPr>
          <w:rFonts w:cs="Arial"/>
          <w:b/>
          <w:bCs/>
          <w:iCs/>
          <w:sz w:val="20"/>
          <w:szCs w:val="20"/>
        </w:rPr>
      </w:pPr>
      <w:r w:rsidRPr="00C61EB0">
        <w:rPr>
          <w:rFonts w:cs="Arial"/>
          <w:b/>
          <w:bCs/>
          <w:iCs/>
          <w:sz w:val="20"/>
          <w:szCs w:val="20"/>
        </w:rPr>
        <w:t>ФНС пояснила, как техническому заказчику заполнить строку 5а сводного счета-фактуры для инвестора</w:t>
      </w:r>
    </w:p>
    <w:p w:rsidR="00C61EB0" w:rsidRPr="00C61EB0" w:rsidRDefault="00C61EB0" w:rsidP="00C61EB0">
      <w:pPr>
        <w:spacing w:after="0"/>
        <w:jc w:val="both"/>
        <w:rPr>
          <w:rFonts w:cs="Arial"/>
          <w:iCs/>
          <w:sz w:val="20"/>
          <w:szCs w:val="20"/>
        </w:rPr>
      </w:pPr>
      <w:r w:rsidRPr="00C61EB0">
        <w:rPr>
          <w:rFonts w:cs="Arial"/>
          <w:iCs/>
          <w:sz w:val="20"/>
          <w:szCs w:val="20"/>
        </w:rPr>
        <w:t xml:space="preserve">Налоговики рассмотрели ситуацию, когда сводные счета-фактуры оформляют на основании актов приема-передачи затрат или результатов работ. Они отметили: в стр. 5а указывают реквизиты первичного документа, на основании которого составили сводный счет-фактуру. При этом неважно, сколько </w:t>
      </w:r>
      <w:r w:rsidR="00DE3E4B">
        <w:rPr>
          <w:rFonts w:cs="Arial"/>
          <w:iCs/>
          <w:sz w:val="20"/>
          <w:szCs w:val="20"/>
        </w:rPr>
        <w:t>«</w:t>
      </w:r>
      <w:r w:rsidRPr="00C61EB0">
        <w:rPr>
          <w:rFonts w:cs="Arial"/>
          <w:iCs/>
          <w:sz w:val="20"/>
          <w:szCs w:val="20"/>
        </w:rPr>
        <w:t>первички</w:t>
      </w:r>
      <w:r w:rsidR="00DE3E4B">
        <w:rPr>
          <w:rFonts w:cs="Arial"/>
          <w:iCs/>
          <w:sz w:val="20"/>
          <w:szCs w:val="20"/>
        </w:rPr>
        <w:t>»</w:t>
      </w:r>
      <w:r w:rsidRPr="00C61EB0">
        <w:rPr>
          <w:rFonts w:cs="Arial"/>
          <w:iCs/>
          <w:sz w:val="20"/>
          <w:szCs w:val="20"/>
        </w:rPr>
        <w:t xml:space="preserve"> еще приложили.</w:t>
      </w:r>
    </w:p>
    <w:p w:rsidR="00BC00B8" w:rsidRDefault="00C61EB0" w:rsidP="00C61EB0">
      <w:pPr>
        <w:spacing w:after="0"/>
        <w:jc w:val="both"/>
        <w:rPr>
          <w:rFonts w:cs="Arial"/>
          <w:iCs/>
          <w:sz w:val="20"/>
          <w:szCs w:val="20"/>
        </w:rPr>
      </w:pPr>
      <w:r w:rsidRPr="00C61EB0">
        <w:rPr>
          <w:rFonts w:cs="Arial"/>
          <w:iCs/>
          <w:sz w:val="20"/>
          <w:szCs w:val="20"/>
        </w:rPr>
        <w:t>То есть, в данном случае в стр. 5а нужно отразить реквизиты акта.</w:t>
      </w:r>
    </w:p>
    <w:p w:rsidR="00B14ADD" w:rsidRPr="00B14ADD" w:rsidRDefault="003A6553" w:rsidP="00DE3E4B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3A6553">
        <w:rPr>
          <w:rFonts w:cs="Arial"/>
          <w:i/>
          <w:sz w:val="20"/>
          <w:szCs w:val="20"/>
          <w:u w:val="single"/>
        </w:rPr>
        <w:t xml:space="preserve">Письмо ФНС России от 30.09.2021 </w:t>
      </w:r>
      <w:r w:rsidR="00DE3E4B">
        <w:rPr>
          <w:rFonts w:cs="Arial"/>
          <w:i/>
          <w:sz w:val="20"/>
          <w:szCs w:val="20"/>
          <w:u w:val="single"/>
        </w:rPr>
        <w:t>№</w:t>
      </w:r>
      <w:r w:rsidRPr="003A6553">
        <w:rPr>
          <w:rFonts w:cs="Arial"/>
          <w:i/>
          <w:sz w:val="20"/>
          <w:szCs w:val="20"/>
          <w:u w:val="single"/>
        </w:rPr>
        <w:t xml:space="preserve"> КВ-4-3/13850@</w:t>
      </w:r>
      <w:r w:rsidRPr="00DE3E4B">
        <w:rPr>
          <w:rFonts w:cs="Arial"/>
          <w:i/>
          <w:sz w:val="20"/>
          <w:szCs w:val="20"/>
        </w:rPr>
        <w:t xml:space="preserve"> </w:t>
      </w:r>
      <w:r w:rsidR="00B14ADD" w:rsidRPr="005715AA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B14ADD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14ADD" w:rsidRPr="005715AA">
        <w:rPr>
          <w:sz w:val="20"/>
          <w:szCs w:val="20"/>
        </w:rPr>
        <w:t>/</w:t>
      </w:r>
      <w:hyperlink r:id="rId10" w:history="1">
        <w:r w:rsidR="00B14ADD"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14ADD" w:rsidRPr="00E30556">
        <w:rPr>
          <w:i/>
          <w:iCs/>
          <w:sz w:val="20"/>
          <w:szCs w:val="20"/>
        </w:rPr>
        <w:t>)</w:t>
      </w:r>
    </w:p>
    <w:p w:rsidR="00B14ADD" w:rsidRPr="001225AE" w:rsidRDefault="00AB63EF" w:rsidP="00DE3E4B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0C5694" w:rsidRDefault="00D17AA7" w:rsidP="00DE3E4B">
      <w:pPr>
        <w:spacing w:before="120" w:after="0"/>
        <w:jc w:val="both"/>
        <w:rPr>
          <w:rFonts w:cs="Arial"/>
          <w:b/>
          <w:bCs/>
          <w:iCs/>
          <w:sz w:val="20"/>
          <w:szCs w:val="20"/>
        </w:rPr>
      </w:pPr>
      <w:r w:rsidRPr="00D17AA7">
        <w:rPr>
          <w:rFonts w:cs="Arial"/>
          <w:b/>
          <w:bCs/>
          <w:iCs/>
          <w:sz w:val="20"/>
          <w:szCs w:val="20"/>
        </w:rPr>
        <w:t>Минфин уверен: на оплату проезда исполнителя к месту оказания услуг не начисляют страховые взносы</w:t>
      </w:r>
    </w:p>
    <w:p w:rsidR="00D17AA7" w:rsidRPr="00D17AA7" w:rsidRDefault="00D17AA7" w:rsidP="00DE3E4B">
      <w:pPr>
        <w:spacing w:after="0"/>
        <w:jc w:val="both"/>
        <w:rPr>
          <w:rFonts w:cs="Arial"/>
          <w:iCs/>
          <w:sz w:val="20"/>
          <w:szCs w:val="20"/>
        </w:rPr>
      </w:pPr>
      <w:r w:rsidRPr="00D17AA7">
        <w:rPr>
          <w:rFonts w:cs="Arial"/>
          <w:iCs/>
          <w:sz w:val="20"/>
          <w:szCs w:val="20"/>
        </w:rPr>
        <w:t>Если исполнитель по гражданско-правовому договору произвел и документально подтвердил расходы, а заказчик их возместил или оплатил, эту сумму не облагают взносами. Норма действует с 1 января 2021 года. По мнению Минфина, такое правило применяют, например, в отношении оплаты проезда к месту оказания услуг физлицами, а также их проживания.</w:t>
      </w:r>
    </w:p>
    <w:p w:rsidR="00D17AA7" w:rsidRPr="00D17AA7" w:rsidRDefault="00D17AA7" w:rsidP="00DE3E4B">
      <w:pPr>
        <w:spacing w:after="0"/>
        <w:jc w:val="both"/>
        <w:rPr>
          <w:rFonts w:cs="Arial"/>
          <w:iCs/>
          <w:sz w:val="20"/>
          <w:szCs w:val="20"/>
        </w:rPr>
      </w:pPr>
      <w:r w:rsidRPr="00D17AA7">
        <w:rPr>
          <w:rFonts w:cs="Arial"/>
          <w:iCs/>
          <w:sz w:val="20"/>
          <w:szCs w:val="20"/>
        </w:rPr>
        <w:t>Для ситуации, когда исполнитель является самозанятым, ведомство обратило внимание на другой аргумент: если выплату учитывают в базе по НПД и у заказчика есть чек, то страховые взносы платить не нужно.</w:t>
      </w:r>
    </w:p>
    <w:p w:rsidR="00D17AA7" w:rsidRDefault="00DE3E4B" w:rsidP="00DE3E4B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Р</w:t>
      </w:r>
      <w:r w:rsidR="00D17AA7" w:rsidRPr="00D17AA7">
        <w:rPr>
          <w:rFonts w:cs="Arial"/>
          <w:iCs/>
          <w:sz w:val="20"/>
          <w:szCs w:val="20"/>
        </w:rPr>
        <w:t>азъяснения касаются ситуации, когда оказывают актерские услуги. Однако полагаем, вывод можно применить и к другим случаям.</w:t>
      </w:r>
    </w:p>
    <w:p w:rsidR="00E37572" w:rsidRPr="00E37572" w:rsidRDefault="00D17AA7" w:rsidP="00DE3E4B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D17AA7">
        <w:rPr>
          <w:rFonts w:cs="Arial"/>
          <w:i/>
          <w:sz w:val="20"/>
          <w:szCs w:val="20"/>
          <w:u w:val="single"/>
        </w:rPr>
        <w:t xml:space="preserve">Письмо Минфина России от 22.09.2021 </w:t>
      </w:r>
      <w:r w:rsidR="00DE3E4B">
        <w:rPr>
          <w:rFonts w:cs="Arial"/>
          <w:i/>
          <w:sz w:val="20"/>
          <w:szCs w:val="20"/>
          <w:u w:val="single"/>
        </w:rPr>
        <w:t>№</w:t>
      </w:r>
      <w:r w:rsidRPr="00D17AA7">
        <w:rPr>
          <w:rFonts w:cs="Arial"/>
          <w:i/>
          <w:sz w:val="20"/>
          <w:szCs w:val="20"/>
          <w:u w:val="single"/>
        </w:rPr>
        <w:t xml:space="preserve"> 03-04-06/76866</w:t>
      </w:r>
      <w:r w:rsidRPr="00DE3E4B">
        <w:rPr>
          <w:rFonts w:cs="Arial"/>
          <w:i/>
          <w:sz w:val="20"/>
          <w:szCs w:val="20"/>
        </w:rPr>
        <w:t xml:space="preserve"> </w:t>
      </w:r>
      <w:r w:rsidR="00E37572" w:rsidRPr="005715AA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E37572" w:rsidRPr="00D94A3E">
          <w:rPr>
            <w:rStyle w:val="a7"/>
            <w:i/>
            <w:iCs/>
            <w:sz w:val="20"/>
            <w:szCs w:val="20"/>
            <w:u w:val="none"/>
          </w:rPr>
          <w:t>оф</w:t>
        </w:r>
        <w:r w:rsidR="00D94A3E" w:rsidRPr="00D94A3E">
          <w:rPr>
            <w:rStyle w:val="a7"/>
            <w:i/>
            <w:iCs/>
            <w:sz w:val="20"/>
            <w:szCs w:val="20"/>
            <w:u w:val="none"/>
          </w:rPr>
          <w:t>лайн</w:t>
        </w:r>
      </w:hyperlink>
      <w:r w:rsidR="00214967">
        <w:rPr>
          <w:rStyle w:val="a7"/>
          <w:i/>
          <w:iCs/>
          <w:sz w:val="20"/>
          <w:szCs w:val="20"/>
          <w:u w:val="none"/>
        </w:rPr>
        <w:t>/</w:t>
      </w:r>
      <w:hyperlink r:id="rId12" w:history="1">
        <w:r w:rsidR="00214967"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37572" w:rsidRPr="00E30556">
        <w:rPr>
          <w:i/>
          <w:iCs/>
          <w:sz w:val="20"/>
          <w:szCs w:val="20"/>
        </w:rPr>
        <w:t>)</w:t>
      </w:r>
    </w:p>
    <w:p w:rsidR="00C102B8" w:rsidRPr="001225AE" w:rsidRDefault="00C102B8" w:rsidP="00DE3E4B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bookmarkEnd w:id="0"/>
    <w:p w:rsidR="001C7C61" w:rsidRDefault="005F104E" w:rsidP="00DE3E4B">
      <w:pPr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537A8A" w:rsidRDefault="005F104E" w:rsidP="00A5124D">
      <w:pPr>
        <w:spacing w:after="0"/>
        <w:jc w:val="both"/>
        <w:rPr>
          <w:b/>
          <w:bCs/>
          <w:sz w:val="20"/>
          <w:szCs w:val="20"/>
        </w:rPr>
      </w:pPr>
      <w:r w:rsidRPr="005F104E">
        <w:rPr>
          <w:b/>
          <w:bCs/>
          <w:sz w:val="20"/>
          <w:szCs w:val="20"/>
        </w:rPr>
        <w:t>Заявление об отказе от УСН подали с опозданием: суд разрешил применять ОСН</w:t>
      </w:r>
    </w:p>
    <w:p w:rsidR="005F104E" w:rsidRPr="005F104E" w:rsidRDefault="005F104E" w:rsidP="005F104E">
      <w:pPr>
        <w:spacing w:after="0"/>
        <w:jc w:val="both"/>
        <w:rPr>
          <w:sz w:val="20"/>
          <w:szCs w:val="20"/>
        </w:rPr>
      </w:pPr>
      <w:r w:rsidRPr="005F104E">
        <w:rPr>
          <w:sz w:val="20"/>
          <w:szCs w:val="20"/>
        </w:rPr>
        <w:t>Организация несвоевременно сообщила о переходе с УСН на ОСН. Когда она заявила вычет НДС по счетам-фактурам, инспекция отказала. Налоговики по-прежнему признавали организацию плательщиком налога на УСН, т.к. она нарушила порядок перехода со спецрежима. Кроме того, организация не меняла вид деятельности.</w:t>
      </w:r>
    </w:p>
    <w:p w:rsidR="005F104E" w:rsidRPr="005F104E" w:rsidRDefault="005F104E" w:rsidP="005F104E">
      <w:pPr>
        <w:spacing w:after="0"/>
        <w:jc w:val="both"/>
        <w:rPr>
          <w:sz w:val="20"/>
          <w:szCs w:val="20"/>
        </w:rPr>
      </w:pPr>
      <w:r w:rsidRPr="005F104E">
        <w:rPr>
          <w:sz w:val="20"/>
          <w:szCs w:val="20"/>
        </w:rPr>
        <w:t>Суд посчитал, что организация действовала добросовестно. Сообщение об отказе от УСН носит уведомительный характер, поэтому инспекция не вправе признать применение ОСН незаконным. Суд отметил, что организация фактически применяла ОСН: оформляла первичные документы, представляла декларации, платила налоги. При этом она не преследовала единственную цель сэкономить на налогах.</w:t>
      </w:r>
      <w:r w:rsidR="00DE3E4B">
        <w:rPr>
          <w:sz w:val="20"/>
          <w:szCs w:val="20"/>
        </w:rPr>
        <w:t xml:space="preserve"> </w:t>
      </w:r>
    </w:p>
    <w:p w:rsidR="005F104E" w:rsidRDefault="005F104E" w:rsidP="005F104E">
      <w:pPr>
        <w:spacing w:after="0"/>
        <w:ind w:left="-142" w:firstLine="142"/>
        <w:jc w:val="both"/>
        <w:rPr>
          <w:sz w:val="20"/>
          <w:szCs w:val="20"/>
        </w:rPr>
      </w:pPr>
      <w:r w:rsidRPr="005F104E">
        <w:rPr>
          <w:sz w:val="20"/>
          <w:szCs w:val="20"/>
        </w:rPr>
        <w:t>Отметим, если суд признает действия налогоплательщика недобросовестными, он вряд ли поддержит см</w:t>
      </w:r>
      <w:bookmarkStart w:id="1" w:name="_GoBack"/>
      <w:bookmarkEnd w:id="1"/>
      <w:r w:rsidRPr="005F104E">
        <w:rPr>
          <w:sz w:val="20"/>
          <w:szCs w:val="20"/>
        </w:rPr>
        <w:t>ену режима.</w:t>
      </w:r>
    </w:p>
    <w:p w:rsidR="002B4C5D" w:rsidRDefault="005F104E" w:rsidP="00DE3E4B">
      <w:pPr>
        <w:spacing w:after="0"/>
        <w:ind w:left="1134"/>
        <w:jc w:val="both"/>
        <w:rPr>
          <w:sz w:val="20"/>
          <w:szCs w:val="20"/>
        </w:rPr>
      </w:pPr>
      <w:r w:rsidRPr="005F104E">
        <w:rPr>
          <w:i/>
          <w:iCs/>
          <w:sz w:val="20"/>
          <w:szCs w:val="20"/>
          <w:u w:val="single"/>
        </w:rPr>
        <w:t xml:space="preserve">Постановление АС Уральского округа от 20.09.2021 по делу </w:t>
      </w:r>
      <w:r w:rsidR="00DE3E4B">
        <w:rPr>
          <w:i/>
          <w:iCs/>
          <w:sz w:val="20"/>
          <w:szCs w:val="20"/>
          <w:u w:val="single"/>
        </w:rPr>
        <w:t>№</w:t>
      </w:r>
      <w:r w:rsidRPr="005F104E">
        <w:rPr>
          <w:i/>
          <w:iCs/>
          <w:sz w:val="20"/>
          <w:szCs w:val="20"/>
          <w:u w:val="single"/>
        </w:rPr>
        <w:t xml:space="preserve"> А76-5003/2021</w:t>
      </w:r>
      <w:r w:rsidRPr="00DE3E4B">
        <w:rPr>
          <w:i/>
          <w:iCs/>
          <w:sz w:val="20"/>
          <w:szCs w:val="20"/>
        </w:rPr>
        <w:t xml:space="preserve"> </w:t>
      </w:r>
      <w:r w:rsidR="002B4C5D"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2B4C5D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4" w:tooltip="Ссылка на КонсультантПлюс" w:history="1">
        <w:r w:rsidR="002B4C5D"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="002B4C5D" w:rsidRPr="00E30556">
        <w:rPr>
          <w:i/>
          <w:iCs/>
          <w:sz w:val="20"/>
          <w:szCs w:val="20"/>
        </w:rPr>
        <w:t>)</w:t>
      </w:r>
    </w:p>
    <w:p w:rsidR="002B4C5D" w:rsidRPr="001C7C61" w:rsidRDefault="005F104E" w:rsidP="00DE3E4B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sectPr w:rsidR="002B4C5D" w:rsidRPr="001C7C61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F1" w:rsidRDefault="00871EF1" w:rsidP="00165173">
      <w:pPr>
        <w:spacing w:after="0" w:line="240" w:lineRule="auto"/>
      </w:pPr>
      <w:r>
        <w:separator/>
      </w:r>
    </w:p>
  </w:endnote>
  <w:endnote w:type="continuationSeparator" w:id="0">
    <w:p w:rsidR="00871EF1" w:rsidRDefault="00871EF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F1" w:rsidRDefault="00871EF1" w:rsidP="00165173">
      <w:pPr>
        <w:spacing w:after="0" w:line="240" w:lineRule="auto"/>
      </w:pPr>
      <w:r>
        <w:separator/>
      </w:r>
    </w:p>
  </w:footnote>
  <w:footnote w:type="continuationSeparator" w:id="0">
    <w:p w:rsidR="00871EF1" w:rsidRDefault="00871EF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B1753"/>
    <w:rsid w:val="000B2E10"/>
    <w:rsid w:val="000B30E7"/>
    <w:rsid w:val="000C032B"/>
    <w:rsid w:val="000C5694"/>
    <w:rsid w:val="000C6D4A"/>
    <w:rsid w:val="000D583D"/>
    <w:rsid w:val="000E50CE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42FA6"/>
    <w:rsid w:val="001436D6"/>
    <w:rsid w:val="00144BE3"/>
    <w:rsid w:val="001501EE"/>
    <w:rsid w:val="00151358"/>
    <w:rsid w:val="001540AD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D22"/>
    <w:rsid w:val="001B553F"/>
    <w:rsid w:val="001B6DC2"/>
    <w:rsid w:val="001B734F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A3E"/>
    <w:rsid w:val="002423B9"/>
    <w:rsid w:val="00246EA7"/>
    <w:rsid w:val="00250A60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A3E"/>
    <w:rsid w:val="0030003D"/>
    <w:rsid w:val="0030172A"/>
    <w:rsid w:val="00303D07"/>
    <w:rsid w:val="003050FA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A6553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7B62"/>
    <w:rsid w:val="00440407"/>
    <w:rsid w:val="00441FA1"/>
    <w:rsid w:val="00445A34"/>
    <w:rsid w:val="00446AF4"/>
    <w:rsid w:val="00452004"/>
    <w:rsid w:val="00453EAA"/>
    <w:rsid w:val="004540D2"/>
    <w:rsid w:val="00460D7D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41F7"/>
    <w:rsid w:val="004A50B3"/>
    <w:rsid w:val="004B065B"/>
    <w:rsid w:val="004B0EED"/>
    <w:rsid w:val="004B14AB"/>
    <w:rsid w:val="004B4545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1478"/>
    <w:rsid w:val="005715AA"/>
    <w:rsid w:val="005719D6"/>
    <w:rsid w:val="00575842"/>
    <w:rsid w:val="0058160F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5F104E"/>
    <w:rsid w:val="00602F19"/>
    <w:rsid w:val="00611C17"/>
    <w:rsid w:val="00612AD2"/>
    <w:rsid w:val="006134D7"/>
    <w:rsid w:val="00616CCB"/>
    <w:rsid w:val="00620614"/>
    <w:rsid w:val="00624EF4"/>
    <w:rsid w:val="006258AE"/>
    <w:rsid w:val="0062759F"/>
    <w:rsid w:val="00631FE9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693F"/>
    <w:rsid w:val="00800FA3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400DE"/>
    <w:rsid w:val="0084325B"/>
    <w:rsid w:val="00846389"/>
    <w:rsid w:val="00851216"/>
    <w:rsid w:val="00854050"/>
    <w:rsid w:val="0085435C"/>
    <w:rsid w:val="00854B2D"/>
    <w:rsid w:val="00870EE2"/>
    <w:rsid w:val="00871EF1"/>
    <w:rsid w:val="00873593"/>
    <w:rsid w:val="008736BD"/>
    <w:rsid w:val="00874880"/>
    <w:rsid w:val="00880B6B"/>
    <w:rsid w:val="00886088"/>
    <w:rsid w:val="008944E0"/>
    <w:rsid w:val="008964C4"/>
    <w:rsid w:val="0089687E"/>
    <w:rsid w:val="008A099E"/>
    <w:rsid w:val="008A1659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62901"/>
    <w:rsid w:val="00970510"/>
    <w:rsid w:val="009711F9"/>
    <w:rsid w:val="009730E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4ADD"/>
    <w:rsid w:val="00B21870"/>
    <w:rsid w:val="00B227D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1EB0"/>
    <w:rsid w:val="00C64E0A"/>
    <w:rsid w:val="00C74BF2"/>
    <w:rsid w:val="00C75ECF"/>
    <w:rsid w:val="00C81AD2"/>
    <w:rsid w:val="00C8551D"/>
    <w:rsid w:val="00C878B4"/>
    <w:rsid w:val="00C90296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478E"/>
    <w:rsid w:val="00D14D52"/>
    <w:rsid w:val="00D16F98"/>
    <w:rsid w:val="00D17AA7"/>
    <w:rsid w:val="00D20622"/>
    <w:rsid w:val="00D231C6"/>
    <w:rsid w:val="00D235F2"/>
    <w:rsid w:val="00D276E3"/>
    <w:rsid w:val="00D27FEF"/>
    <w:rsid w:val="00D30352"/>
    <w:rsid w:val="00D350EC"/>
    <w:rsid w:val="00D35649"/>
    <w:rsid w:val="00D35789"/>
    <w:rsid w:val="00D4041E"/>
    <w:rsid w:val="00D40BA0"/>
    <w:rsid w:val="00D4171B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2138"/>
    <w:rsid w:val="00D530A0"/>
    <w:rsid w:val="00D53E86"/>
    <w:rsid w:val="00D546A3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D016F"/>
    <w:rsid w:val="00DD366A"/>
    <w:rsid w:val="00DD42D5"/>
    <w:rsid w:val="00DD4F16"/>
    <w:rsid w:val="00DD50A3"/>
    <w:rsid w:val="00DD5D83"/>
    <w:rsid w:val="00DD6D4D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E77"/>
    <w:rsid w:val="00E25AEB"/>
    <w:rsid w:val="00E30556"/>
    <w:rsid w:val="00E306EB"/>
    <w:rsid w:val="00E31199"/>
    <w:rsid w:val="00E31A94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E20B8"/>
    <w:rsid w:val="00EF09AB"/>
    <w:rsid w:val="00EF18B2"/>
    <w:rsid w:val="00EF6D95"/>
    <w:rsid w:val="00EF7EFF"/>
    <w:rsid w:val="00F01A79"/>
    <w:rsid w:val="00F0351B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606CF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7313&amp;dst=100003%2C-1&amp;date=15.10.2021" TargetMode="External"/><Relationship Id="rId13" Type="http://schemas.openxmlformats.org/officeDocument/2006/relationships/hyperlink" Target="consultantplus://offline/ref=50526B3EF33AD6B50DF2791BD1D7EEBAA55879C28B20A7EDE40CCA2D4DA53F81764B193297674821FA6BF507CA5754C0AC9B4281DE47DFE2EAl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072A00EE15647407794345D1C7DFB73B9CABF43638CC49278428269F1E53EF2196FDF73BA1A67E7F4C7FB3C1C5675D91D1E4070D2FD1E3i3G" TargetMode="External"/><Relationship Id="rId12" Type="http://schemas.openxmlformats.org/officeDocument/2006/relationships/hyperlink" Target="https://login.consultant.ru/link/?req=doc&amp;base=QUEST&amp;n=206924&amp;dst=1000000001&amp;date=15.10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B8921464A4448B0D172B7B4AE51C175FC4DC9F163951BC81CD07A2CD6C21D67376D01D31CC6226630867E6CB16A1A737594B0B1D7124D3A195n670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QUEST&amp;n=206963&amp;dst=100005&amp;date=15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544C0843304E251CC42D6DE41AB4BA21C839B7CA5AF21000258AA2A592BDA9FD72E1B7DB4BFBCA21A93FA83BF4573A4222EB530AB4FAA95D6TA3DF" TargetMode="External"/><Relationship Id="rId14" Type="http://schemas.openxmlformats.org/officeDocument/2006/relationships/hyperlink" Target="https://login.consultant.ru/link/?req=doc&amp;base=AUR&amp;n=230823&amp;dst=1000000001&amp;date=15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8</cp:revision>
  <dcterms:created xsi:type="dcterms:W3CDTF">2021-10-11T08:49:00Z</dcterms:created>
  <dcterms:modified xsi:type="dcterms:W3CDTF">2021-10-15T16:25:00Z</dcterms:modified>
</cp:coreProperties>
</file>