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bCs/>
          <w:sz w:val="28"/>
          <w:szCs w:val="28"/>
          <w:lang w:eastAsia="ru-RU"/>
        </w:rPr>
        <w:t xml:space="preserve">Положение о конкурсе «Нижегородский бухгалтер»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 xml:space="preserve">1. Цели конкурса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1.1. Повышение профессионального уровня бухгалтеров.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1.2. Установление квалификационной иерархии бухгалтеров.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1.3. Формирование рынка услуг бухгалтеров в зависимости от их квалификации.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1.4. Создание среды для профессионального общения бухгалтеров Нижегородской области.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1.5. Формирование правовой культуры.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>2. Участники конкурса (конкурсанты)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2.1. Участниками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 конкурса являются физические лица – бухгалтеры, аудиторы, экономисты, финансовые сотрудники, а также лица, интересующиеся вопросами бухгалтерского учета и налогообложения.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2.2. К участию в конкурсе не допускаются лица, работающие в структурных подразделе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ниях организаций, имеющих своих представителей в оргкомитете конкурса.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2.3. Конкурсантами могут быть только жители Нижнего Новгорода и Нижегородской области.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 xml:space="preserve">3. Партнеры конкурса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3.1. Партнеры конкурса – организации и физические лица, предоставляющие 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для награждения победителей денежные средства, подарки, ценные призы или оказывающие иную помощь в проведении конкурса.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3.2. Форма участия партнера в конкурсе определяется по согласованию с организационным комитетом конкурса.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3.3. По согласованию с орган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изационным комитетом партнеры конкурса могут назначать также специальные призы.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 xml:space="preserve">4. Организационный комитет конкурса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4.1. Организационный комитет конкурса (далее – оргкомитет) создается на базе компании «АПИ» – нижегородского информационного центра Обще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российской Сети КонсультантПлюс.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lastRenderedPageBreak/>
        <w:t>4.2. В оргкомитет входят представители компании «АПИ» и Министерства финансов Нижегородской области. В него могут входить также представители других организаций, по роду своей деятельности занимающиеся вопросами бухгалтерс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кого учета и налогообложения.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4.3. Оргкомитет является высшим органом конкурса, в его компетенцию входит решение следующих вопросов: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определение приоритетных целей конкурса, утверждение планов работ по его организации и проведению, утверждение финансового плана конкурса и, по необходимости, внесение в него изменений;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– формирование состава жюри конкурса в соответствии с настоящим Пол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ожением;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избрание председателя оргкомитета;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контроль над деятельностью председателя оргкомитета, утверждение его отчета;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утверждение и внесение изменений в настоящее Положение.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4.4. Собрания оргкомитета проводятся по мере необходимости по требова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нию одного из его членов.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4.5. Собрание оргкомитета правомочно, если на нем присутствует не менее двух членов оргкомитета, при условии, что остальные были должным образом уведомлены о месте и времени его проведения. Решение принимается простым большинство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м голосов. Каждый из членов оргкомитета имеет по одному голосу.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4.6. Голосование членов оргкомитета по всем вопросам, входящим в его компетенцию, может производиться в форме письменного опроса.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4.7. Сроки и форма проведения собраний оргкомитета определяются его председателем.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4.8. Председатель оргкомитета осуществляет следующие функции: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D0D0D" w:themeColor="text1" w:themeTint="F2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– руководит работой оргк</w:t>
      </w:r>
      <w:r>
        <w:rPr>
          <w:rFonts w:ascii="Verdana" w:eastAsia="Times New Roman" w:hAnsi="Verdana" w:cs="Tahoma"/>
          <w:color w:val="0D0D0D" w:themeColor="text1" w:themeTint="F2"/>
          <w:sz w:val="28"/>
          <w:szCs w:val="28"/>
          <w:lang w:eastAsia="ru-RU"/>
        </w:rPr>
        <w:t xml:space="preserve">омитета;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D0D0D" w:themeColor="text1" w:themeTint="F2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D0D0D" w:themeColor="text1" w:themeTint="F2"/>
          <w:sz w:val="28"/>
          <w:szCs w:val="28"/>
          <w:lang w:eastAsia="ru-RU"/>
        </w:rPr>
        <w:t>– представляет на всех уровнях интересы конкурса;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– председательствует на с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обраниях оргкомитета;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представляет оргкомитету кандидатуры для включения в состав жюри конкурса;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заключает договоры на проведение работ, оказание услуг, получение инвестиций, необходимых для проведения конкурса.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 xml:space="preserve">5. Жюри конкурса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5.1. Жюри конкурс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а (далее – жюри) формируется оргкомитетом из числа компетентных специалистов.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5.2. Членами жюри конкурса могут быть: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представители профессиональных организаций бухгалтеров, аудиторов и аудиторских фирм;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– представители Министерства финансов Нижегородс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кой области и других органов власти;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представители других организаций, по роду своей деятельности занимающиеся вопросами бухгалтерского учета и налогообложения.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5.3. Жюри выбирает из своего состава председателя жюри.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5.4. Члены жюри предоставляют для 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формирования вопросов конкурса вопросы актуального характера в количестве, установленном оргкомитетом.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5.5. За корректность поставленных вопросов и правильность оценки ответов члены жюри несут персональную ответственность.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5.6. Деятельность членов жюри р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егламентируется настоящим Положением.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 xml:space="preserve">6. Регламент конкурса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6.1. Конкурс проводится в двух номинациях: </w:t>
      </w:r>
    </w:p>
    <w:p w:rsidR="00241653" w:rsidRDefault="00D73E6A">
      <w:pPr>
        <w:pStyle w:val="a4"/>
        <w:shd w:val="clear" w:color="auto" w:fill="FCFCFC"/>
        <w:spacing w:after="0" w:line="240" w:lineRule="auto"/>
        <w:ind w:left="0"/>
        <w:contextualSpacing w:val="0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</w:t>
      </w:r>
      <w:r>
        <w:rPr>
          <w:rFonts w:ascii="Verdana" w:eastAsia="Times New Roman" w:hAnsi="Verdana" w:cs="Arial"/>
          <w:bCs/>
          <w:sz w:val="28"/>
          <w:szCs w:val="28"/>
          <w:lang w:eastAsia="ru-RU"/>
        </w:rPr>
        <w:t>«</w:t>
      </w:r>
      <w:r>
        <w:rPr>
          <w:rFonts w:ascii="Verdana" w:hAnsi="Verdana"/>
          <w:sz w:val="28"/>
          <w:szCs w:val="28"/>
        </w:rPr>
        <w:t>Лучший бухгалтер бюджетной организации</w:t>
      </w:r>
      <w:r>
        <w:rPr>
          <w:rFonts w:ascii="Verdana" w:eastAsia="Times New Roman" w:hAnsi="Verdana" w:cs="Arial"/>
          <w:bCs/>
          <w:sz w:val="28"/>
          <w:szCs w:val="28"/>
          <w:lang w:eastAsia="ru-RU"/>
        </w:rPr>
        <w:t>»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;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– </w:t>
      </w:r>
      <w:r>
        <w:rPr>
          <w:rFonts w:ascii="Verdana" w:eastAsia="Times New Roman" w:hAnsi="Verdana" w:cs="Arial"/>
          <w:bCs/>
          <w:sz w:val="28"/>
          <w:szCs w:val="28"/>
          <w:lang w:eastAsia="ru-RU"/>
        </w:rPr>
        <w:t>«</w:t>
      </w:r>
      <w:r>
        <w:rPr>
          <w:rFonts w:ascii="Verdana" w:hAnsi="Verdana"/>
          <w:sz w:val="28"/>
          <w:szCs w:val="28"/>
        </w:rPr>
        <w:t>Лучший бухгалтер коммерческой организации</w:t>
      </w:r>
      <w:r>
        <w:rPr>
          <w:rFonts w:ascii="Verdana" w:eastAsia="Times New Roman" w:hAnsi="Verdana" w:cs="Arial"/>
          <w:bCs/>
          <w:sz w:val="28"/>
          <w:szCs w:val="28"/>
          <w:lang w:eastAsia="ru-RU"/>
        </w:rPr>
        <w:t>»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6.2. Для участников конкурса в каждой из номинаций представлены свои конкурсные задания.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6.3. В каждой номинации определяются свои победители.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6.4. Конкурс проводится в два тура.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6.5. Первый тур проводится заочно в режиме онлайн в соответствии с графико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м, утвержденным оргкомитетом.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6.6. В первом туре конкурсанты должны режиме онлайн ответить на 30 вопросов в виде тестов по бухгалтерскому учету и налогообложению.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6.7. Вопросы для первого тура допускают несколько вариантов ответов, и </w:t>
      </w:r>
      <w:r>
        <w:rPr>
          <w:rFonts w:ascii="Verdana" w:eastAsia="Times New Roman" w:hAnsi="Verdana" w:cs="Tahoma"/>
          <w:b/>
          <w:sz w:val="28"/>
          <w:szCs w:val="28"/>
          <w:lang w:eastAsia="ru-RU"/>
        </w:rPr>
        <w:t>только один из них я</w:t>
      </w:r>
      <w:r>
        <w:rPr>
          <w:rFonts w:ascii="Verdana" w:eastAsia="Times New Roman" w:hAnsi="Verdana" w:cs="Tahoma"/>
          <w:b/>
          <w:sz w:val="28"/>
          <w:szCs w:val="28"/>
          <w:lang w:eastAsia="ru-RU"/>
        </w:rPr>
        <w:t>вляется правильным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. Каждый вопрос оценивается в один балл.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6.8. После регистрации на сайте </w:t>
      </w:r>
      <w:r w:rsidR="000C5E81" w:rsidRPr="000C5E81">
        <w:rPr>
          <w:rFonts w:ascii="Verdana" w:eastAsia="Times New Roman" w:hAnsi="Verdana" w:cs="Tahoma"/>
          <w:sz w:val="28"/>
          <w:szCs w:val="28"/>
          <w:lang w:eastAsia="ru-RU"/>
        </w:rPr>
        <w:t>api.nnov.ru/</w:t>
      </w:r>
      <w:proofErr w:type="spellStart"/>
      <w:r w:rsidR="000C5E81" w:rsidRPr="000C5E81">
        <w:rPr>
          <w:rFonts w:ascii="Verdana" w:eastAsia="Times New Roman" w:hAnsi="Verdana" w:cs="Tahoma"/>
          <w:sz w:val="28"/>
          <w:szCs w:val="28"/>
          <w:lang w:eastAsia="ru-RU"/>
        </w:rPr>
        <w:t>buh</w:t>
      </w:r>
      <w:proofErr w:type="spellEnd"/>
      <w:r w:rsidR="000C5E81" w:rsidRPr="000C5E81">
        <w:rPr>
          <w:rFonts w:ascii="Verdana" w:eastAsia="Times New Roman" w:hAnsi="Verdana" w:cs="Tahoma"/>
          <w:sz w:val="28"/>
          <w:szCs w:val="28"/>
          <w:lang w:eastAsia="ru-RU"/>
        </w:rPr>
        <w:t>/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 и заполнения полной регистрационной формы участникам будет открыт доступ к вопросам первого тур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а конкурса, на которые </w:t>
      </w:r>
      <w:r>
        <w:rPr>
          <w:rFonts w:ascii="Verdana" w:eastAsia="Times New Roman" w:hAnsi="Verdana" w:cs="Tahoma"/>
          <w:sz w:val="28"/>
          <w:szCs w:val="28"/>
          <w:lang w:eastAsia="ru-RU"/>
        </w:rPr>
        <w:lastRenderedPageBreak/>
        <w:t xml:space="preserve">будет необходимо дать ответ в режиме онлайн в течение 72 часов с момента заполнения регистрационной формы.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6.9. Ответы на вопросы первого тура апелляции не подлежат.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6.10. Из числа конкурсантов, набравших наибольшее количество балл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ов, формируется группа участников финала конкурса. Число конкурсантов-финалистов определяет оргкомитет. Количество баллов, набранных каждым участником, публикуется в Личном кабинете после завершения первого </w:t>
      </w:r>
      <w:r w:rsidR="000C5E81">
        <w:rPr>
          <w:rFonts w:ascii="Verdana" w:eastAsia="Times New Roman" w:hAnsi="Verdana" w:cs="Tahoma"/>
          <w:sz w:val="28"/>
          <w:szCs w:val="28"/>
          <w:lang w:eastAsia="ru-RU"/>
        </w:rPr>
        <w:t>тура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6.11. Второй тур – фин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ал конкурса – проводится очно в соответствии с графиком, утвержденным оргкомитетом.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6.12. О сроках и месте проведения финала конкурса оргкомитет  принимает решение по результатам первого тура.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6.13. Конкурсанты, вышедшие в финал, извещаются о месте и вре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мени проведения второго тура по электронной почте и по контактному телефону, указанному при регистрации. Кроме того, информация о месте и времени проведения туров конкурса размещается на сайте компании «АПИ».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6.14. В финале конкурса участники в течение 1 часа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 отвечают на 20 вопросов в виде тестов.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6.15. Вопросы для финала допускают один вариант ответа, который является правильным.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6.16. Каждый правильный ответ на тестовый вопрос оценивается в один балл.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6.17. Неправильные варианты ответов оцениваются в ноль баллов, при этом правильность обоснования не рассматривается.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6.18. Ответы на вопросы финала апелляции не подлежат.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6.19. Все участники финала при подготовке ответов имеют возможность использовать сп</w:t>
      </w:r>
      <w:r>
        <w:rPr>
          <w:rFonts w:ascii="Verdana" w:eastAsia="Times New Roman" w:hAnsi="Verdana" w:cs="Tahoma"/>
          <w:sz w:val="28"/>
          <w:szCs w:val="28"/>
          <w:lang w:eastAsia="ru-RU"/>
        </w:rPr>
        <w:t>равочно</w:t>
      </w:r>
      <w:bookmarkStart w:id="0" w:name="_GoBack"/>
      <w:bookmarkEnd w:id="0"/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-правовую систему КонсультантПлюс.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6.20. После проведения церемонии награждения победителей конкурса (в двухдневный срок) организаторы размещают информацию о количестве баллов, набранных каждым участником, на сайте компании «АПИ».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 xml:space="preserve">7. Определение и награждение победителей конкурса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7.1. Три участника, набравшие наибольшее количество баллов по итогам двух туров, становятся призерами конкурса. Места распределяются в соответствии с количеством набранных баллов и скоростью ответов во вт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ором туре.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7.2. Если конкурсанты набирают одинаковое количество баллов, жюри сравнивает скорость их ответов. Принятое жюри решение является окончательным и обжалованию не подлежит.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7.3. Призеры, набравшие наибольшее количество баллов, становятся победите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лями конкурса в соответствующих номинациях («Лучший бухгалтер бюджетной сферы», «Лучший бухгалтер коммерческой сферы»).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7.4. Призеры, набравшие меньшее по сравнению с победителем количество баллов, занимают второе и третье призовые места (в соответствии с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 количеством набранных баллов).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7.5. Если конкурсанты из числа призеров набирают одинаковое количество баллов, для распределения мест между ними производится процедура, аналогичная описанной в пункте 7.2, после чего подводятся окончательные итоги конкурса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7.6. Призеры конкурса награждаются дипломами конкурса «Нижегородский бухгалтер» и ценными призами и подарками.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7.7. Призы для победителей в номинации «Лучший бухгалтер бюджетной сферы» предоставляет Министерство финансов Нижегородской области.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7.8. Уч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астники конкурса, попавшие по числу набранных баллов в первую десятку после призеров, считаются номинантами и награждаются памятными дипломами. </w:t>
      </w: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>7.9. Информация о призерах и конкурсантах, попавших в первую после призеров десятку, публикуется в средствах ма</w:t>
      </w: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ссовой информации (Ф.И.О., название должности, место работы).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b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sz w:val="28"/>
          <w:szCs w:val="28"/>
          <w:lang w:eastAsia="ru-RU"/>
        </w:rPr>
        <w:t xml:space="preserve">8. Заключительные положения </w:t>
      </w:r>
    </w:p>
    <w:p w:rsidR="00241653" w:rsidRDefault="0024165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</w:p>
    <w:p w:rsidR="00241653" w:rsidRDefault="00D73E6A">
      <w:pPr>
        <w:shd w:val="clear" w:color="auto" w:fill="FCFCFC"/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ahoma"/>
          <w:sz w:val="28"/>
          <w:szCs w:val="28"/>
          <w:lang w:eastAsia="ru-RU"/>
        </w:rPr>
        <w:t xml:space="preserve">8.1. Вопросы, не урегулированные настоящим Положением, регулируются оргкомитетом в соответствии с действующим законодательством Российской Федерации. </w:t>
      </w:r>
    </w:p>
    <w:sectPr w:rsidR="0024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3"/>
    <w:rsid w:val="000C5E81"/>
    <w:rsid w:val="00241653"/>
    <w:rsid w:val="00D7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8BB8-4EE8-48A7-B8D9-6A68231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Елизавета</dc:creator>
  <cp:keywords/>
  <dc:description/>
  <cp:lastModifiedBy>Мишина Елена</cp:lastModifiedBy>
  <cp:revision>3</cp:revision>
  <dcterms:created xsi:type="dcterms:W3CDTF">2018-05-11T06:47:00Z</dcterms:created>
  <dcterms:modified xsi:type="dcterms:W3CDTF">2018-05-11T06:47:00Z</dcterms:modified>
</cp:coreProperties>
</file>